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0074F" w14:textId="1B98E438" w:rsidR="00200682" w:rsidRPr="003234C5" w:rsidRDefault="00C86750" w:rsidP="00200682">
      <w:pPr>
        <w:rPr>
          <w:rFonts w:ascii="Arial" w:hAnsi="Arial" w:cs="Arial"/>
          <w:b/>
        </w:rPr>
      </w:pPr>
      <w:r w:rsidRPr="003234C5">
        <w:rPr>
          <w:rFonts w:ascii="Arial" w:hAnsi="Arial" w:cs="Arial"/>
          <w:b/>
        </w:rPr>
        <w:t xml:space="preserve">Companhia de Gás do Ceará – </w:t>
      </w:r>
      <w:r w:rsidR="00F71A6C" w:rsidRPr="003234C5">
        <w:rPr>
          <w:rFonts w:ascii="Arial" w:hAnsi="Arial" w:cs="Arial"/>
          <w:b/>
        </w:rPr>
        <w:t>CEGÁS</w:t>
      </w:r>
    </w:p>
    <w:p w14:paraId="30153CBD" w14:textId="77777777" w:rsidR="00200682" w:rsidRPr="003234C5" w:rsidRDefault="00200682" w:rsidP="00200682">
      <w:pPr>
        <w:pStyle w:val="Ttulo7"/>
        <w:spacing w:before="0" w:after="0"/>
        <w:jc w:val="both"/>
        <w:rPr>
          <w:rFonts w:ascii="Arial" w:hAnsi="Arial" w:cs="Arial"/>
          <w:i/>
          <w:sz w:val="22"/>
          <w:szCs w:val="22"/>
          <w:lang w:val="pt-BR"/>
        </w:rPr>
      </w:pPr>
    </w:p>
    <w:p w14:paraId="5EB29804" w14:textId="3EEB4C30" w:rsidR="004F53C1" w:rsidRPr="003234C5" w:rsidRDefault="004F53C1" w:rsidP="00200682">
      <w:pPr>
        <w:ind w:right="50"/>
        <w:jc w:val="both"/>
        <w:rPr>
          <w:rFonts w:ascii="Arial" w:hAnsi="Arial" w:cs="Arial"/>
        </w:rPr>
      </w:pPr>
      <w:r w:rsidRPr="003234C5">
        <w:rPr>
          <w:rFonts w:ascii="Arial" w:hAnsi="Arial" w:cs="Arial"/>
          <w:b/>
        </w:rPr>
        <w:t xml:space="preserve">Notas explicativas às </w:t>
      </w:r>
      <w:r w:rsidR="00122DAB">
        <w:rPr>
          <w:rFonts w:ascii="Arial" w:hAnsi="Arial" w:cs="Arial"/>
          <w:b/>
        </w:rPr>
        <w:t>Demonstrações Financeiras de 31 de dezembro de 2019 e 2018</w:t>
      </w:r>
    </w:p>
    <w:p w14:paraId="7CEBE643" w14:textId="2D7758EB" w:rsidR="00200682" w:rsidRPr="003234C5" w:rsidRDefault="00200682" w:rsidP="008C71D1">
      <w:pPr>
        <w:rPr>
          <w:rFonts w:ascii="Arial" w:hAnsi="Arial" w:cs="Arial"/>
          <w:b/>
        </w:rPr>
      </w:pPr>
      <w:r w:rsidRPr="003234C5">
        <w:rPr>
          <w:rFonts w:ascii="Arial" w:hAnsi="Arial" w:cs="Arial"/>
        </w:rPr>
        <w:t xml:space="preserve">(Valores </w:t>
      </w:r>
      <w:r w:rsidR="00760A97" w:rsidRPr="003234C5">
        <w:rPr>
          <w:rFonts w:ascii="Arial" w:hAnsi="Arial" w:cs="Arial"/>
        </w:rPr>
        <w:t>e</w:t>
      </w:r>
      <w:r w:rsidRPr="003234C5">
        <w:rPr>
          <w:rFonts w:ascii="Arial" w:hAnsi="Arial" w:cs="Arial"/>
        </w:rPr>
        <w:t>xpressos</w:t>
      </w:r>
      <w:r w:rsidR="003F2BFC" w:rsidRPr="003234C5">
        <w:rPr>
          <w:rFonts w:ascii="Arial" w:hAnsi="Arial" w:cs="Arial"/>
        </w:rPr>
        <w:t xml:space="preserve"> em</w:t>
      </w:r>
      <w:r w:rsidRPr="003234C5">
        <w:rPr>
          <w:rFonts w:ascii="Arial" w:hAnsi="Arial" w:cs="Arial"/>
        </w:rPr>
        <w:t xml:space="preserve"> </w:t>
      </w:r>
      <w:r w:rsidR="00760A97" w:rsidRPr="003234C5">
        <w:rPr>
          <w:rFonts w:ascii="Arial" w:hAnsi="Arial" w:cs="Arial"/>
        </w:rPr>
        <w:t xml:space="preserve">milhares de </w:t>
      </w:r>
      <w:r w:rsidRPr="003234C5">
        <w:rPr>
          <w:rFonts w:ascii="Arial" w:hAnsi="Arial" w:cs="Arial"/>
        </w:rPr>
        <w:t>Reais</w:t>
      </w:r>
      <w:r w:rsidR="00760A97" w:rsidRPr="003234C5">
        <w:rPr>
          <w:rFonts w:ascii="Arial" w:hAnsi="Arial" w:cs="Arial"/>
        </w:rPr>
        <w:t>,</w:t>
      </w:r>
      <w:r w:rsidRPr="003234C5">
        <w:rPr>
          <w:rFonts w:ascii="Arial" w:hAnsi="Arial" w:cs="Arial"/>
        </w:rPr>
        <w:t xml:space="preserve"> ou de outra forma quando indicado)</w:t>
      </w:r>
    </w:p>
    <w:p w14:paraId="00ED9A45" w14:textId="77777777" w:rsidR="00200682" w:rsidRPr="003234C5" w:rsidRDefault="00200682" w:rsidP="00200682">
      <w:pPr>
        <w:widowControl w:val="0"/>
        <w:jc w:val="both"/>
        <w:rPr>
          <w:rFonts w:ascii="Arial" w:hAnsi="Arial" w:cs="Arial"/>
          <w:b/>
        </w:rPr>
      </w:pPr>
      <w:r w:rsidRPr="003234C5">
        <w:rPr>
          <w:rFonts w:ascii="Arial" w:hAnsi="Arial" w:cs="Arial"/>
          <w:b/>
        </w:rPr>
        <w:t>NOTA 1. CONTEXTO OPERACIONAL</w:t>
      </w:r>
    </w:p>
    <w:p w14:paraId="3643FB58" w14:textId="774B9F4D" w:rsidR="00200682" w:rsidRPr="003234C5" w:rsidRDefault="00200682" w:rsidP="00760A97">
      <w:pPr>
        <w:jc w:val="both"/>
        <w:rPr>
          <w:rFonts w:ascii="Arial" w:hAnsi="Arial" w:cs="Arial"/>
        </w:rPr>
      </w:pPr>
      <w:r w:rsidRPr="003234C5">
        <w:rPr>
          <w:rFonts w:ascii="Arial" w:hAnsi="Arial" w:cs="Arial"/>
        </w:rPr>
        <w:t xml:space="preserve">Constituída em 18 de outubro de 1993, a Companhia de Gás do Ceará – </w:t>
      </w:r>
      <w:r w:rsidR="00F71A6C" w:rsidRPr="003234C5">
        <w:rPr>
          <w:rFonts w:ascii="Arial" w:hAnsi="Arial" w:cs="Arial"/>
        </w:rPr>
        <w:t>CEGÁS</w:t>
      </w:r>
      <w:r w:rsidR="00D11220" w:rsidRPr="003234C5">
        <w:rPr>
          <w:rFonts w:ascii="Arial" w:hAnsi="Arial" w:cs="Arial"/>
        </w:rPr>
        <w:t>, doravante denominada “Companhia”,</w:t>
      </w:r>
      <w:r w:rsidRPr="003234C5">
        <w:rPr>
          <w:rFonts w:ascii="Arial" w:hAnsi="Arial" w:cs="Arial"/>
        </w:rPr>
        <w:t xml:space="preserve"> é uma sociedade por ações de economia mista, autorizada a funcionar de acordo com a Lei Estadual n.º 12.010 de 05 de outubro de 1992, tendo por objeto social promover a produção,</w:t>
      </w:r>
      <w:r w:rsidR="00777F2C" w:rsidRPr="003234C5">
        <w:rPr>
          <w:rFonts w:ascii="Arial" w:hAnsi="Arial" w:cs="Arial"/>
        </w:rPr>
        <w:t xml:space="preserve"> a</w:t>
      </w:r>
      <w:r w:rsidRPr="003234C5">
        <w:rPr>
          <w:rFonts w:ascii="Arial" w:hAnsi="Arial" w:cs="Arial"/>
        </w:rPr>
        <w:t xml:space="preserve"> aquisição, o armazenamento, a distribuição e a comercialização de gás combustível e a prestação de serviços correlatos no Estado do Ceará.</w:t>
      </w:r>
    </w:p>
    <w:p w14:paraId="60F6E239" w14:textId="3863EC3F" w:rsidR="00200682" w:rsidRPr="003234C5" w:rsidRDefault="00200682" w:rsidP="00200682">
      <w:pPr>
        <w:jc w:val="both"/>
        <w:rPr>
          <w:rFonts w:ascii="Arial" w:hAnsi="Arial" w:cs="Arial"/>
        </w:rPr>
      </w:pPr>
      <w:r w:rsidRPr="003234C5">
        <w:rPr>
          <w:rFonts w:ascii="Arial" w:hAnsi="Arial" w:cs="Arial"/>
        </w:rPr>
        <w:t>A Companhia é concessionária exclusiva pelo prazo de 50 anos dos serviços de distribuição de gás canalizado em todo o Estado do Ceará, conforme contrato de concessão celebrado em 30 de dezembro de 1993.</w:t>
      </w:r>
    </w:p>
    <w:p w14:paraId="7A518B48" w14:textId="574239BF" w:rsidR="00200682" w:rsidRPr="003234C5" w:rsidRDefault="00200682" w:rsidP="00200682">
      <w:pPr>
        <w:widowControl w:val="0"/>
        <w:ind w:right="50"/>
        <w:jc w:val="both"/>
        <w:rPr>
          <w:rFonts w:ascii="Arial" w:hAnsi="Arial" w:cs="Arial"/>
          <w:b/>
        </w:rPr>
      </w:pPr>
      <w:r w:rsidRPr="003234C5">
        <w:rPr>
          <w:rFonts w:ascii="Arial" w:hAnsi="Arial" w:cs="Arial"/>
          <w:b/>
        </w:rPr>
        <w:t xml:space="preserve">NOTA 2. </w:t>
      </w:r>
      <w:r w:rsidR="00B50D56" w:rsidRPr="003234C5">
        <w:rPr>
          <w:rFonts w:ascii="Arial" w:hAnsi="Arial" w:cs="Arial"/>
          <w:b/>
        </w:rPr>
        <w:t>BASE DE PREPARAÇÃO</w:t>
      </w:r>
      <w:r w:rsidRPr="003234C5">
        <w:rPr>
          <w:rFonts w:ascii="Arial" w:hAnsi="Arial" w:cs="Arial"/>
          <w:b/>
          <w:color w:val="FF0000"/>
        </w:rPr>
        <w:t xml:space="preserve"> </w:t>
      </w:r>
    </w:p>
    <w:p w14:paraId="10106EA8" w14:textId="0EA5CB62" w:rsidR="00B50D56" w:rsidRPr="003234C5" w:rsidRDefault="00200682" w:rsidP="00200682">
      <w:pPr>
        <w:jc w:val="both"/>
        <w:rPr>
          <w:rFonts w:ascii="Arial" w:hAnsi="Arial" w:cs="Arial"/>
        </w:rPr>
      </w:pPr>
      <w:r w:rsidRPr="003234C5">
        <w:rPr>
          <w:rFonts w:ascii="Arial" w:hAnsi="Arial" w:cs="Arial"/>
        </w:rPr>
        <w:t xml:space="preserve">As demonstrações financeiras foram elaboradas de acordo com as práticas contábeis adotadas no Brasil, contemplando as modificações introduzidas pela Lei nº 11.941/09 e pela Lei n° 11.638/07 que alteraram a Lei das Sociedades por Ações </w:t>
      </w:r>
      <w:r w:rsidR="003D4923" w:rsidRPr="003234C5">
        <w:rPr>
          <w:rFonts w:ascii="Arial" w:hAnsi="Arial" w:cs="Arial"/>
        </w:rPr>
        <w:t>–</w:t>
      </w:r>
      <w:r w:rsidRPr="003234C5">
        <w:rPr>
          <w:rFonts w:ascii="Arial" w:hAnsi="Arial" w:cs="Arial"/>
        </w:rPr>
        <w:t xml:space="preserve"> Lei</w:t>
      </w:r>
      <w:r w:rsidR="003D4923" w:rsidRPr="003234C5">
        <w:rPr>
          <w:rFonts w:ascii="Arial" w:hAnsi="Arial" w:cs="Arial"/>
        </w:rPr>
        <w:t xml:space="preserve"> </w:t>
      </w:r>
      <w:r w:rsidRPr="003234C5">
        <w:rPr>
          <w:rFonts w:ascii="Arial" w:hAnsi="Arial" w:cs="Arial"/>
        </w:rPr>
        <w:t xml:space="preserve">nº 6.404/76, regulamentadas pelo Comitê de Pronunciamentos Contábeis – CPC, pela Comissão de Valores Mobiliários – CVM e pelo Conselho Federal de Contabilidade </w:t>
      </w:r>
      <w:r w:rsidR="003D4923" w:rsidRPr="003234C5">
        <w:rPr>
          <w:rFonts w:ascii="Arial" w:hAnsi="Arial" w:cs="Arial"/>
        </w:rPr>
        <w:t>–</w:t>
      </w:r>
      <w:r w:rsidRPr="003234C5">
        <w:rPr>
          <w:rFonts w:ascii="Arial" w:hAnsi="Arial" w:cs="Arial"/>
        </w:rPr>
        <w:t xml:space="preserve"> CFC.</w:t>
      </w:r>
    </w:p>
    <w:p w14:paraId="0E30E96B" w14:textId="49694937" w:rsidR="00B50D56" w:rsidRPr="003234C5" w:rsidRDefault="00B50D56" w:rsidP="00200682">
      <w:pPr>
        <w:jc w:val="both"/>
        <w:rPr>
          <w:rFonts w:ascii="Arial" w:hAnsi="Arial" w:cs="Arial"/>
          <w:b/>
        </w:rPr>
      </w:pPr>
      <w:r w:rsidRPr="003234C5">
        <w:rPr>
          <w:rFonts w:ascii="Arial" w:hAnsi="Arial" w:cs="Arial"/>
          <w:b/>
        </w:rPr>
        <w:t>NOTA 3. MOEDA FUNCIONAL E MO</w:t>
      </w:r>
      <w:r w:rsidR="003F2BFC" w:rsidRPr="003234C5">
        <w:rPr>
          <w:rFonts w:ascii="Arial" w:hAnsi="Arial" w:cs="Arial"/>
          <w:b/>
        </w:rPr>
        <w:t>E</w:t>
      </w:r>
      <w:r w:rsidRPr="003234C5">
        <w:rPr>
          <w:rFonts w:ascii="Arial" w:hAnsi="Arial" w:cs="Arial"/>
          <w:b/>
        </w:rPr>
        <w:t>DA DE APRESE</w:t>
      </w:r>
      <w:r w:rsidR="00D05BC3" w:rsidRPr="003234C5">
        <w:rPr>
          <w:rFonts w:ascii="Arial" w:hAnsi="Arial" w:cs="Arial"/>
          <w:b/>
        </w:rPr>
        <w:t>N</w:t>
      </w:r>
      <w:r w:rsidRPr="003234C5">
        <w:rPr>
          <w:rFonts w:ascii="Arial" w:hAnsi="Arial" w:cs="Arial"/>
          <w:b/>
        </w:rPr>
        <w:t xml:space="preserve">TAÇÃO </w:t>
      </w:r>
    </w:p>
    <w:p w14:paraId="4ABF4EF3" w14:textId="24E4CF89" w:rsidR="00B50D56" w:rsidRPr="003234C5" w:rsidRDefault="00B50D56" w:rsidP="00B50D56">
      <w:pPr>
        <w:ind w:right="51"/>
        <w:jc w:val="both"/>
        <w:rPr>
          <w:rFonts w:ascii="Arial" w:hAnsi="Arial" w:cs="Arial"/>
        </w:rPr>
      </w:pPr>
      <w:r w:rsidRPr="003234C5">
        <w:rPr>
          <w:rFonts w:ascii="Arial" w:hAnsi="Arial" w:cs="Arial"/>
        </w:rPr>
        <w:t>Estas demonstrações financeiras estão apresentadas em Reais, que é a moeda funcional da Companhia. Em todas as informações financeiras apresentadas em reais os valores foram arredondados para o milhar mais próximo, exceto quando indicado de outra forma.</w:t>
      </w:r>
    </w:p>
    <w:p w14:paraId="78FA85FF" w14:textId="7C1827B8" w:rsidR="0022238F" w:rsidRPr="003234C5" w:rsidRDefault="0022238F" w:rsidP="00B50D56">
      <w:pPr>
        <w:ind w:right="51"/>
        <w:jc w:val="both"/>
        <w:rPr>
          <w:rFonts w:ascii="Arial" w:hAnsi="Arial" w:cs="Arial"/>
          <w:b/>
        </w:rPr>
      </w:pPr>
      <w:r w:rsidRPr="003234C5">
        <w:rPr>
          <w:rFonts w:ascii="Arial" w:hAnsi="Arial" w:cs="Arial"/>
          <w:b/>
        </w:rPr>
        <w:t>NOTA 4. USO DE ESTIMATIVAS E JULGAMENTOS</w:t>
      </w:r>
    </w:p>
    <w:p w14:paraId="626C2E0A" w14:textId="569B04A3" w:rsidR="00546245" w:rsidRPr="00122DAB" w:rsidRDefault="0022238F" w:rsidP="00B50D56">
      <w:pPr>
        <w:ind w:right="51"/>
        <w:jc w:val="both"/>
        <w:rPr>
          <w:rFonts w:ascii="Arial" w:hAnsi="Arial" w:cs="Arial"/>
        </w:rPr>
      </w:pPr>
      <w:r w:rsidRPr="003234C5">
        <w:rPr>
          <w:rFonts w:ascii="Arial" w:hAnsi="Arial" w:cs="Arial"/>
        </w:rPr>
        <w:t>A preparação das demonstrações financeiras de acordo com as práticas contábeis adotadas no Brasil requer que a Companhia se baseie em estimativas para o registro de certas transações que afet</w:t>
      </w:r>
      <w:r w:rsidR="00561149">
        <w:rPr>
          <w:rFonts w:ascii="Arial" w:hAnsi="Arial" w:cs="Arial"/>
        </w:rPr>
        <w:t>e</w:t>
      </w:r>
      <w:r w:rsidRPr="003234C5">
        <w:rPr>
          <w:rFonts w:ascii="Arial" w:hAnsi="Arial" w:cs="Arial"/>
        </w:rPr>
        <w:t xml:space="preserve">m os ativos e passivos, receitas e despesas, bem como a divulgação de informações sobre dados de suas demonstrações financeiras. Itens significativos sujeitos a estas estimativas e premissas incluem a provisão para </w:t>
      </w:r>
      <w:r w:rsidR="0078181A">
        <w:rPr>
          <w:rFonts w:ascii="Arial" w:hAnsi="Arial" w:cs="Arial"/>
        </w:rPr>
        <w:t xml:space="preserve">perdas estimadas no recebimento de créditos </w:t>
      </w:r>
      <w:r w:rsidRPr="003234C5">
        <w:rPr>
          <w:rFonts w:ascii="Arial" w:hAnsi="Arial" w:cs="Arial"/>
        </w:rPr>
        <w:t>e a provisão para contingências. Os resultados dessas transações e informações, quando de sua realização em períodos subsequentes, podem divergir das estimativas.</w:t>
      </w:r>
    </w:p>
    <w:p w14:paraId="214670C3" w14:textId="4F4B0DEF" w:rsidR="00B50D56" w:rsidRDefault="00B50D56" w:rsidP="00B50D56">
      <w:pPr>
        <w:jc w:val="both"/>
        <w:rPr>
          <w:rFonts w:ascii="Arial" w:hAnsi="Arial" w:cs="Arial"/>
          <w:b/>
        </w:rPr>
      </w:pPr>
      <w:r w:rsidRPr="003234C5">
        <w:rPr>
          <w:rFonts w:ascii="Arial" w:hAnsi="Arial" w:cs="Arial"/>
          <w:b/>
        </w:rPr>
        <w:t xml:space="preserve">NOTA </w:t>
      </w:r>
      <w:r w:rsidR="0022238F" w:rsidRPr="003234C5">
        <w:rPr>
          <w:rFonts w:ascii="Arial" w:hAnsi="Arial" w:cs="Arial"/>
          <w:b/>
        </w:rPr>
        <w:t>5</w:t>
      </w:r>
      <w:r w:rsidRPr="003234C5">
        <w:rPr>
          <w:rFonts w:ascii="Arial" w:hAnsi="Arial" w:cs="Arial"/>
          <w:b/>
        </w:rPr>
        <w:t>. MUDANÇAS NAS PRINCIPAIS POLÍTICAS CONTÁBEIS</w:t>
      </w:r>
    </w:p>
    <w:p w14:paraId="0C067BCF" w14:textId="2479F507" w:rsidR="004F53C1" w:rsidRPr="003234C5" w:rsidRDefault="004F53C1" w:rsidP="004F53C1">
      <w:pPr>
        <w:ind w:right="51"/>
        <w:jc w:val="both"/>
        <w:rPr>
          <w:rFonts w:ascii="Arial" w:hAnsi="Arial" w:cs="Arial"/>
        </w:rPr>
      </w:pPr>
      <w:bookmarkStart w:id="0" w:name="_Hlk7084312"/>
      <w:r w:rsidRPr="003234C5">
        <w:rPr>
          <w:rFonts w:ascii="Arial" w:hAnsi="Arial" w:cs="Arial"/>
        </w:rPr>
        <w:t>A seguinte nova norma foi emitida pelo IASB, e entrou em vigor em 1º de janeiro de 2019:</w:t>
      </w:r>
    </w:p>
    <w:p w14:paraId="6FC85EC2" w14:textId="612CCE5B" w:rsidR="004F53C1" w:rsidRPr="003234C5" w:rsidRDefault="004F53C1" w:rsidP="004F53C1">
      <w:pPr>
        <w:ind w:left="567" w:right="51"/>
        <w:jc w:val="both"/>
        <w:rPr>
          <w:rFonts w:ascii="Arial" w:hAnsi="Arial" w:cs="Arial"/>
        </w:rPr>
      </w:pPr>
      <w:r w:rsidRPr="003234C5">
        <w:rPr>
          <w:rFonts w:ascii="Arial" w:hAnsi="Arial" w:cs="Arial"/>
        </w:rPr>
        <w:t>•</w:t>
      </w:r>
      <w:r w:rsidRPr="003234C5">
        <w:rPr>
          <w:rFonts w:ascii="Arial" w:hAnsi="Arial" w:cs="Arial"/>
        </w:rPr>
        <w:tab/>
        <w:t>IFRS 16 (</w:t>
      </w:r>
      <w:r w:rsidRPr="003234C5">
        <w:rPr>
          <w:rFonts w:ascii="Arial" w:hAnsi="Arial" w:cs="Arial"/>
          <w:bCs/>
        </w:rPr>
        <w:t>NBC TG</w:t>
      </w:r>
      <w:r w:rsidRPr="003234C5">
        <w:rPr>
          <w:rFonts w:ascii="Arial" w:hAnsi="Arial" w:cs="Arial"/>
        </w:rPr>
        <w:t xml:space="preserve"> 06 </w:t>
      </w:r>
      <w:r w:rsidR="00A724F6" w:rsidRPr="003234C5">
        <w:rPr>
          <w:rFonts w:ascii="Arial" w:hAnsi="Arial" w:cs="Arial"/>
        </w:rPr>
        <w:t>R3</w:t>
      </w:r>
      <w:r w:rsidRPr="003234C5">
        <w:rPr>
          <w:rFonts w:ascii="Arial" w:hAnsi="Arial" w:cs="Arial"/>
        </w:rPr>
        <w:t>) – Arrendamento mercantil (vigência a partir de 1º de janeiro de 2019)</w:t>
      </w:r>
    </w:p>
    <w:p w14:paraId="74E818E8" w14:textId="0EF5506E" w:rsidR="004F53C1" w:rsidRPr="003234C5" w:rsidRDefault="004F53C1" w:rsidP="004F53C1">
      <w:pPr>
        <w:spacing w:after="0"/>
        <w:ind w:right="51"/>
        <w:jc w:val="both"/>
        <w:rPr>
          <w:rFonts w:ascii="Arial" w:hAnsi="Arial" w:cs="Arial"/>
        </w:rPr>
      </w:pPr>
      <w:r w:rsidRPr="003234C5">
        <w:rPr>
          <w:rFonts w:ascii="Arial" w:hAnsi="Arial" w:cs="Arial"/>
        </w:rPr>
        <w:t xml:space="preserve">A norma IFRS 16/ </w:t>
      </w:r>
      <w:r w:rsidRPr="003234C5">
        <w:rPr>
          <w:rFonts w:ascii="Arial" w:hAnsi="Arial" w:cs="Arial"/>
          <w:bCs/>
        </w:rPr>
        <w:t>NBC TG</w:t>
      </w:r>
      <w:r w:rsidRPr="003234C5">
        <w:rPr>
          <w:rFonts w:ascii="Arial" w:hAnsi="Arial" w:cs="Arial"/>
        </w:rPr>
        <w:t xml:space="preserve"> 06 (</w:t>
      </w:r>
      <w:r w:rsidR="00A724F6" w:rsidRPr="003234C5">
        <w:rPr>
          <w:rFonts w:ascii="Arial" w:hAnsi="Arial" w:cs="Arial"/>
        </w:rPr>
        <w:t>R3</w:t>
      </w:r>
      <w:r w:rsidRPr="003234C5">
        <w:rPr>
          <w:rFonts w:ascii="Arial" w:hAnsi="Arial" w:cs="Arial"/>
        </w:rPr>
        <w:t xml:space="preserve">) tem como objetivo unificar o tratamento contábil das operações de arrendamento, não mais fazendo a distinção entre arrendamento operacional </w:t>
      </w:r>
      <w:r w:rsidRPr="003234C5">
        <w:rPr>
          <w:rFonts w:ascii="Arial" w:hAnsi="Arial" w:cs="Arial"/>
        </w:rPr>
        <w:lastRenderedPageBreak/>
        <w:t>e financeiro e exigindo dos arrendatários reconhecer os passivos assumidos em contrapartida aos respetivos ativos correspondentes ao seu direito de uso para todos os contratos de arrendamento, a menos que apresente as seguintes características que estão no alcance da isenção da norma:</w:t>
      </w:r>
    </w:p>
    <w:p w14:paraId="071073CC" w14:textId="77777777" w:rsidR="004F53C1" w:rsidRPr="003234C5" w:rsidRDefault="004F53C1" w:rsidP="004F53C1">
      <w:pPr>
        <w:spacing w:after="0"/>
        <w:ind w:right="51"/>
        <w:jc w:val="both"/>
        <w:rPr>
          <w:rFonts w:ascii="Arial" w:hAnsi="Arial" w:cs="Arial"/>
        </w:rPr>
      </w:pPr>
    </w:p>
    <w:p w14:paraId="1D3701CC" w14:textId="77777777" w:rsidR="004F53C1" w:rsidRPr="003234C5" w:rsidRDefault="004F53C1" w:rsidP="004F53C1">
      <w:pPr>
        <w:spacing w:after="0"/>
        <w:ind w:right="51"/>
        <w:jc w:val="both"/>
        <w:rPr>
          <w:rFonts w:ascii="Arial" w:hAnsi="Arial" w:cs="Arial"/>
        </w:rPr>
      </w:pPr>
      <w:r w:rsidRPr="003234C5">
        <w:rPr>
          <w:rFonts w:ascii="Arial" w:hAnsi="Arial" w:cs="Arial"/>
        </w:rPr>
        <w:t>i)</w:t>
      </w:r>
      <w:r w:rsidRPr="003234C5">
        <w:rPr>
          <w:rFonts w:ascii="Arial" w:hAnsi="Arial" w:cs="Arial"/>
        </w:rPr>
        <w:tab/>
        <w:t>Contrato com um prazo inferior ou igual a doze meses; e</w:t>
      </w:r>
    </w:p>
    <w:p w14:paraId="624CBAC9" w14:textId="77777777" w:rsidR="004F53C1" w:rsidRPr="003234C5" w:rsidRDefault="004F53C1" w:rsidP="004F53C1">
      <w:pPr>
        <w:spacing w:after="0"/>
        <w:ind w:right="51"/>
        <w:jc w:val="both"/>
        <w:rPr>
          <w:rFonts w:ascii="Arial" w:hAnsi="Arial" w:cs="Arial"/>
        </w:rPr>
      </w:pPr>
      <w:proofErr w:type="spellStart"/>
      <w:r w:rsidRPr="003234C5">
        <w:rPr>
          <w:rFonts w:ascii="Arial" w:hAnsi="Arial" w:cs="Arial"/>
        </w:rPr>
        <w:t>ii</w:t>
      </w:r>
      <w:proofErr w:type="spellEnd"/>
      <w:r w:rsidRPr="003234C5">
        <w:rPr>
          <w:rFonts w:ascii="Arial" w:hAnsi="Arial" w:cs="Arial"/>
        </w:rPr>
        <w:t>)</w:t>
      </w:r>
      <w:r w:rsidRPr="003234C5">
        <w:rPr>
          <w:rFonts w:ascii="Arial" w:hAnsi="Arial" w:cs="Arial"/>
        </w:rPr>
        <w:tab/>
        <w:t xml:space="preserve">Possua um valor imaterial ou tenha como base valores variáveis. </w:t>
      </w:r>
    </w:p>
    <w:p w14:paraId="34A69C65" w14:textId="77777777" w:rsidR="004F53C1" w:rsidRPr="003234C5" w:rsidRDefault="004F53C1" w:rsidP="004F53C1">
      <w:pPr>
        <w:spacing w:after="0"/>
        <w:ind w:right="51"/>
        <w:jc w:val="both"/>
        <w:rPr>
          <w:rFonts w:ascii="Arial" w:hAnsi="Arial" w:cs="Arial"/>
        </w:rPr>
      </w:pPr>
    </w:p>
    <w:p w14:paraId="76CA8D54" w14:textId="6020622C" w:rsidR="004F53C1" w:rsidRPr="003234C5" w:rsidRDefault="004F53C1" w:rsidP="004F53C1">
      <w:pPr>
        <w:spacing w:after="0"/>
        <w:ind w:right="51"/>
        <w:jc w:val="both"/>
        <w:rPr>
          <w:rFonts w:ascii="Arial" w:hAnsi="Arial" w:cs="Arial"/>
        </w:rPr>
      </w:pPr>
      <w:r w:rsidRPr="003234C5">
        <w:rPr>
          <w:rFonts w:ascii="Arial" w:hAnsi="Arial" w:cs="Arial"/>
        </w:rPr>
        <w:t xml:space="preserve">Muito embora o novo pronunciamento não traga nenhuma alteração significante no montante total que deverá ser levado ao resultado ao longo da vida útil do contrato, é correto afirmar que houve um efeito temporal no lucro líquido em função principalmente do método de reconhecimento dos juros e atualização monetária associados aos arrendamentos. As contas patrimoniais sofreram alterações significativas, se tomarmos como base o fluxo de pagamentos associado também a determinação de variáveis, tais como: </w:t>
      </w:r>
    </w:p>
    <w:p w14:paraId="539CCA06" w14:textId="77777777" w:rsidR="004F53C1" w:rsidRPr="003234C5" w:rsidRDefault="004F53C1" w:rsidP="004F53C1">
      <w:pPr>
        <w:spacing w:after="0"/>
        <w:ind w:right="51"/>
        <w:jc w:val="both"/>
        <w:rPr>
          <w:rFonts w:ascii="Arial" w:hAnsi="Arial" w:cs="Arial"/>
        </w:rPr>
      </w:pPr>
    </w:p>
    <w:p w14:paraId="40FF216B" w14:textId="77777777" w:rsidR="004F53C1" w:rsidRPr="003234C5" w:rsidRDefault="004F53C1" w:rsidP="004F53C1">
      <w:pPr>
        <w:spacing w:after="0"/>
        <w:ind w:right="51"/>
        <w:jc w:val="both"/>
        <w:rPr>
          <w:rFonts w:ascii="Arial" w:hAnsi="Arial" w:cs="Arial"/>
        </w:rPr>
      </w:pPr>
      <w:r w:rsidRPr="003234C5">
        <w:rPr>
          <w:rFonts w:ascii="Arial" w:hAnsi="Arial" w:cs="Arial"/>
        </w:rPr>
        <w:t>i)</w:t>
      </w:r>
      <w:r w:rsidRPr="003234C5">
        <w:rPr>
          <w:rFonts w:ascii="Arial" w:hAnsi="Arial" w:cs="Arial"/>
        </w:rPr>
        <w:tab/>
        <w:t xml:space="preserve">Taxa de descontos; </w:t>
      </w:r>
    </w:p>
    <w:p w14:paraId="16B1EC87" w14:textId="77777777" w:rsidR="004F53C1" w:rsidRPr="003234C5" w:rsidRDefault="004F53C1" w:rsidP="004F53C1">
      <w:pPr>
        <w:spacing w:after="0"/>
        <w:ind w:right="51"/>
        <w:jc w:val="both"/>
        <w:rPr>
          <w:rFonts w:ascii="Arial" w:hAnsi="Arial" w:cs="Arial"/>
        </w:rPr>
      </w:pPr>
      <w:proofErr w:type="spellStart"/>
      <w:r w:rsidRPr="003234C5">
        <w:rPr>
          <w:rFonts w:ascii="Arial" w:hAnsi="Arial" w:cs="Arial"/>
        </w:rPr>
        <w:t>ii</w:t>
      </w:r>
      <w:proofErr w:type="spellEnd"/>
      <w:r w:rsidRPr="003234C5">
        <w:rPr>
          <w:rFonts w:ascii="Arial" w:hAnsi="Arial" w:cs="Arial"/>
        </w:rPr>
        <w:t>)</w:t>
      </w:r>
      <w:r w:rsidRPr="003234C5">
        <w:rPr>
          <w:rFonts w:ascii="Arial" w:hAnsi="Arial" w:cs="Arial"/>
        </w:rPr>
        <w:tab/>
        <w:t xml:space="preserve">Levantamento dos contratos que estarão cobertos pela isenção; e </w:t>
      </w:r>
    </w:p>
    <w:p w14:paraId="42CBA4AD" w14:textId="77777777" w:rsidR="004F53C1" w:rsidRPr="003234C5" w:rsidRDefault="004F53C1" w:rsidP="004F53C1">
      <w:pPr>
        <w:spacing w:after="0"/>
        <w:ind w:right="51"/>
        <w:jc w:val="both"/>
        <w:rPr>
          <w:rFonts w:ascii="Arial" w:hAnsi="Arial" w:cs="Arial"/>
        </w:rPr>
      </w:pPr>
      <w:proofErr w:type="spellStart"/>
      <w:r w:rsidRPr="003234C5">
        <w:rPr>
          <w:rFonts w:ascii="Arial" w:hAnsi="Arial" w:cs="Arial"/>
        </w:rPr>
        <w:t>iii</w:t>
      </w:r>
      <w:proofErr w:type="spellEnd"/>
      <w:r w:rsidRPr="003234C5">
        <w:rPr>
          <w:rFonts w:ascii="Arial" w:hAnsi="Arial" w:cs="Arial"/>
        </w:rPr>
        <w:t>)</w:t>
      </w:r>
      <w:r w:rsidRPr="003234C5">
        <w:rPr>
          <w:rFonts w:ascii="Arial" w:hAnsi="Arial" w:cs="Arial"/>
        </w:rPr>
        <w:tab/>
        <w:t xml:space="preserve">Outros aspectos que necessitam de uma avaliação minuciosa para que possamos atribuir os valores exatos para fins de mensuração. </w:t>
      </w:r>
    </w:p>
    <w:p w14:paraId="19794C14" w14:textId="77777777" w:rsidR="004F53C1" w:rsidRPr="003234C5" w:rsidRDefault="004F53C1" w:rsidP="004F53C1">
      <w:pPr>
        <w:spacing w:after="0"/>
        <w:ind w:right="51"/>
        <w:jc w:val="both"/>
        <w:rPr>
          <w:rFonts w:ascii="Arial" w:hAnsi="Arial" w:cs="Arial"/>
        </w:rPr>
      </w:pPr>
    </w:p>
    <w:p w14:paraId="5D685CD4" w14:textId="75B9C74F" w:rsidR="004F53C1" w:rsidRPr="003234C5" w:rsidRDefault="004F53C1" w:rsidP="004F53C1">
      <w:pPr>
        <w:spacing w:after="0"/>
        <w:ind w:right="51"/>
        <w:jc w:val="both"/>
        <w:rPr>
          <w:rFonts w:ascii="Arial" w:hAnsi="Arial" w:cs="Arial"/>
        </w:rPr>
      </w:pPr>
      <w:r w:rsidRPr="003234C5">
        <w:rPr>
          <w:rFonts w:ascii="Arial" w:hAnsi="Arial" w:cs="Arial"/>
        </w:rPr>
        <w:t xml:space="preserve">A Companhia optou pela abordagem de transição simplificada, a qual não requer a reapresentação de valores. Para isso, foi realizado estudo para verificar o impacto detalhado da aplicação desta norma nas demonstrações financeiras no período de adoção inicial e concluímos que as contraprestações de arrendamento, da Sede Administrativa, que em anos anteriores eram registradas como despesas de aluguel passaram a ser reconhecidas nas linhas de amortização do direito de uso e despesas financeiras. </w:t>
      </w:r>
    </w:p>
    <w:p w14:paraId="07BE0863" w14:textId="77777777" w:rsidR="004F53C1" w:rsidRPr="003234C5" w:rsidRDefault="004F53C1" w:rsidP="004F53C1">
      <w:pPr>
        <w:spacing w:after="0"/>
        <w:ind w:right="51"/>
        <w:jc w:val="both"/>
        <w:rPr>
          <w:rFonts w:ascii="Arial" w:hAnsi="Arial" w:cs="Arial"/>
        </w:rPr>
      </w:pPr>
    </w:p>
    <w:p w14:paraId="20546980" w14:textId="486E267D" w:rsidR="004F53C1" w:rsidRPr="003234C5" w:rsidRDefault="004F53C1" w:rsidP="004F53C1">
      <w:pPr>
        <w:spacing w:after="0"/>
        <w:ind w:right="51"/>
        <w:jc w:val="both"/>
        <w:rPr>
          <w:rFonts w:ascii="Arial" w:hAnsi="Arial" w:cs="Arial"/>
        </w:rPr>
      </w:pPr>
      <w:r w:rsidRPr="00A85A86">
        <w:rPr>
          <w:rFonts w:ascii="Arial" w:hAnsi="Arial" w:cs="Arial"/>
        </w:rPr>
        <w:t>O impacto para</w:t>
      </w:r>
      <w:r w:rsidR="00582C13" w:rsidRPr="00A85A86">
        <w:rPr>
          <w:rFonts w:ascii="Arial" w:hAnsi="Arial" w:cs="Arial"/>
        </w:rPr>
        <w:t xml:space="preserve"> </w:t>
      </w:r>
      <w:r w:rsidR="0078181A">
        <w:rPr>
          <w:rFonts w:ascii="Arial" w:hAnsi="Arial" w:cs="Arial"/>
        </w:rPr>
        <w:t xml:space="preserve">a adoção inicial em 01 de janeiro de </w:t>
      </w:r>
      <w:r w:rsidRPr="00A85A86">
        <w:rPr>
          <w:rFonts w:ascii="Arial" w:hAnsi="Arial" w:cs="Arial"/>
        </w:rPr>
        <w:t>2019 é de R$ 3</w:t>
      </w:r>
      <w:r w:rsidR="000643C6" w:rsidRPr="00A85A86">
        <w:rPr>
          <w:rFonts w:ascii="Arial" w:hAnsi="Arial" w:cs="Arial"/>
        </w:rPr>
        <w:t>95</w:t>
      </w:r>
      <w:r w:rsidRPr="00A85A86">
        <w:rPr>
          <w:rFonts w:ascii="Arial" w:hAnsi="Arial" w:cs="Arial"/>
        </w:rPr>
        <w:t xml:space="preserve">, o qual foi contabilizado em contrapartida </w:t>
      </w:r>
      <w:r w:rsidR="00AB0AFE" w:rsidRPr="00A85A86">
        <w:rPr>
          <w:rFonts w:ascii="Arial" w:hAnsi="Arial" w:cs="Arial"/>
        </w:rPr>
        <w:t>a</w:t>
      </w:r>
      <w:r w:rsidRPr="00A85A86">
        <w:rPr>
          <w:rFonts w:ascii="Arial" w:hAnsi="Arial" w:cs="Arial"/>
        </w:rPr>
        <w:t>o patrimônio líquido, conforme permitido pelo CPC 06.</w:t>
      </w:r>
    </w:p>
    <w:p w14:paraId="61601B6E" w14:textId="77777777" w:rsidR="004F53C1" w:rsidRPr="003234C5" w:rsidRDefault="004F53C1" w:rsidP="004F53C1">
      <w:pPr>
        <w:spacing w:after="0"/>
        <w:ind w:right="51"/>
        <w:jc w:val="both"/>
        <w:rPr>
          <w:rFonts w:ascii="Arial" w:hAnsi="Arial" w:cs="Arial"/>
        </w:rPr>
      </w:pPr>
    </w:p>
    <w:p w14:paraId="50D7DF0C" w14:textId="2EB9053D" w:rsidR="00CD7EC7" w:rsidRDefault="004F53C1" w:rsidP="00365023">
      <w:pPr>
        <w:spacing w:after="0"/>
        <w:ind w:right="51"/>
        <w:jc w:val="both"/>
        <w:rPr>
          <w:rFonts w:ascii="Arial" w:hAnsi="Arial" w:cs="Arial"/>
        </w:rPr>
      </w:pPr>
      <w:r w:rsidRPr="003234C5">
        <w:rPr>
          <w:rFonts w:ascii="Arial" w:hAnsi="Arial" w:cs="Arial"/>
        </w:rPr>
        <w:t xml:space="preserve">A Companhia não espera que a adoção inicial do </w:t>
      </w:r>
      <w:r w:rsidRPr="003234C5">
        <w:rPr>
          <w:rFonts w:ascii="Arial" w:hAnsi="Arial" w:cs="Arial"/>
          <w:bCs/>
        </w:rPr>
        <w:t xml:space="preserve">NBC TG </w:t>
      </w:r>
      <w:r w:rsidRPr="003234C5">
        <w:rPr>
          <w:rFonts w:ascii="Arial" w:hAnsi="Arial" w:cs="Arial"/>
        </w:rPr>
        <w:t>06 (</w:t>
      </w:r>
      <w:r w:rsidR="00A724F6" w:rsidRPr="003234C5">
        <w:rPr>
          <w:rFonts w:ascii="Arial" w:hAnsi="Arial" w:cs="Arial"/>
        </w:rPr>
        <w:t>R</w:t>
      </w:r>
      <w:proofErr w:type="gramStart"/>
      <w:r w:rsidR="00A724F6" w:rsidRPr="003234C5">
        <w:rPr>
          <w:rFonts w:ascii="Arial" w:hAnsi="Arial" w:cs="Arial"/>
        </w:rPr>
        <w:t>3</w:t>
      </w:r>
      <w:r w:rsidRPr="003234C5">
        <w:rPr>
          <w:rFonts w:ascii="Arial" w:hAnsi="Arial" w:cs="Arial"/>
        </w:rPr>
        <w:t>)/</w:t>
      </w:r>
      <w:proofErr w:type="gramEnd"/>
      <w:r w:rsidRPr="003234C5">
        <w:rPr>
          <w:rFonts w:ascii="Arial" w:hAnsi="Arial" w:cs="Arial"/>
        </w:rPr>
        <w:t>IFRS 16 afete sua capacidade de cumprir com os acordos contratuais.</w:t>
      </w:r>
      <w:bookmarkEnd w:id="0"/>
    </w:p>
    <w:p w14:paraId="0B0AC137" w14:textId="77777777" w:rsidR="00365023" w:rsidRDefault="00365023" w:rsidP="00365023">
      <w:pPr>
        <w:spacing w:after="0"/>
        <w:ind w:right="51"/>
        <w:jc w:val="both"/>
        <w:rPr>
          <w:rFonts w:ascii="Arial" w:hAnsi="Arial" w:cs="Arial"/>
        </w:rPr>
      </w:pPr>
    </w:p>
    <w:p w14:paraId="01C0255C" w14:textId="679ABBBE" w:rsidR="00CD7EC7" w:rsidRPr="00365023" w:rsidRDefault="00365023" w:rsidP="00365023">
      <w:pPr>
        <w:jc w:val="both"/>
        <w:rPr>
          <w:rFonts w:ascii="Arial" w:hAnsi="Arial" w:cs="Arial"/>
          <w:bCs/>
        </w:rPr>
      </w:pPr>
      <w:r>
        <w:rPr>
          <w:rFonts w:ascii="Arial" w:hAnsi="Arial" w:cs="Arial"/>
          <w:bCs/>
        </w:rPr>
        <w:t xml:space="preserve">       </w:t>
      </w:r>
      <w:r w:rsidRPr="003234C5">
        <w:rPr>
          <w:rFonts w:ascii="Arial" w:hAnsi="Arial" w:cs="Arial"/>
        </w:rPr>
        <w:t>•</w:t>
      </w:r>
      <w:r>
        <w:rPr>
          <w:rFonts w:ascii="Arial" w:hAnsi="Arial" w:cs="Arial"/>
          <w:bCs/>
        </w:rPr>
        <w:t xml:space="preserve"> </w:t>
      </w:r>
      <w:r w:rsidR="00CD7EC7" w:rsidRPr="00365023">
        <w:rPr>
          <w:rFonts w:ascii="Arial" w:hAnsi="Arial" w:cs="Arial"/>
          <w:bCs/>
        </w:rPr>
        <w:t>IFRS 9 (CPC 48) - Instrumentos Financeiros</w:t>
      </w:r>
    </w:p>
    <w:p w14:paraId="4365ED73" w14:textId="77777777" w:rsidR="00CD7EC7" w:rsidRPr="00CD7EC7" w:rsidRDefault="00CD7EC7" w:rsidP="00CD7EC7">
      <w:pPr>
        <w:jc w:val="both"/>
        <w:rPr>
          <w:rFonts w:ascii="Arial" w:hAnsi="Arial" w:cs="Arial"/>
        </w:rPr>
      </w:pPr>
      <w:r w:rsidRPr="00CD7EC7">
        <w:rPr>
          <w:rFonts w:ascii="Arial" w:hAnsi="Arial" w:cs="Arial"/>
        </w:rPr>
        <w:t xml:space="preserve">O IFRS 9 (CPC 48) emitido em novembro de 2009 introduziu novos requerimentos de classificação e mensuração de ativos financeiros. O IFRS 9 (CPC 48) foi alterado em outubro de 2010 para incluir requerimentos para classificação e mensuração e </w:t>
      </w:r>
      <w:proofErr w:type="spellStart"/>
      <w:r w:rsidRPr="00CD7EC7">
        <w:rPr>
          <w:rFonts w:ascii="Arial" w:hAnsi="Arial" w:cs="Arial"/>
        </w:rPr>
        <w:t>desreconhecimento</w:t>
      </w:r>
      <w:proofErr w:type="spellEnd"/>
      <w:r w:rsidRPr="00CD7EC7">
        <w:rPr>
          <w:rFonts w:ascii="Arial" w:hAnsi="Arial" w:cs="Arial"/>
        </w:rPr>
        <w:t xml:space="preserve"> de passivos financeiros, e em novembro de 2013 para incluir novos requerimentos para contabilidade de hedge. </w:t>
      </w:r>
    </w:p>
    <w:p w14:paraId="38532301" w14:textId="77777777" w:rsidR="00CD7EC7" w:rsidRPr="00CD7EC7" w:rsidRDefault="00CD7EC7" w:rsidP="00CD7EC7">
      <w:pPr>
        <w:jc w:val="both"/>
        <w:rPr>
          <w:rFonts w:ascii="Arial" w:hAnsi="Arial" w:cs="Arial"/>
        </w:rPr>
      </w:pPr>
      <w:r w:rsidRPr="00CD7EC7">
        <w:rPr>
          <w:rFonts w:ascii="Arial" w:hAnsi="Arial" w:cs="Arial"/>
        </w:rPr>
        <w:t xml:space="preserve">Outra revisão do IFRS 9 (CPC 48) foi emitida em julho de 2014 e incluiu, principalmente: (a) requerimentos de </w:t>
      </w:r>
      <w:proofErr w:type="spellStart"/>
      <w:r w:rsidRPr="00CD7EC7">
        <w:rPr>
          <w:rFonts w:ascii="Arial" w:hAnsi="Arial" w:cs="Arial"/>
          <w:i/>
        </w:rPr>
        <w:t>impairment</w:t>
      </w:r>
      <w:proofErr w:type="spellEnd"/>
      <w:r w:rsidRPr="00CD7EC7">
        <w:rPr>
          <w:rFonts w:ascii="Arial" w:hAnsi="Arial" w:cs="Arial"/>
        </w:rPr>
        <w:t xml:space="preserve"> para ativos financeiros; e (b) alterações limitadas para os requerimentos de classificação e mensuração ao introduzir um critério de avaliação a “valor justo reconhecido através de outros resultados abrangentes” para alguns instrumentos de dívida simples.</w:t>
      </w:r>
    </w:p>
    <w:p w14:paraId="2E244D60" w14:textId="62A3C31A" w:rsidR="00CD7EC7" w:rsidRPr="00461A4E" w:rsidRDefault="00CD7EC7" w:rsidP="00CD7EC7">
      <w:pPr>
        <w:jc w:val="both"/>
        <w:rPr>
          <w:rFonts w:ascii="Arial" w:hAnsi="Arial" w:cs="Arial"/>
          <w:color w:val="000000" w:themeColor="text1"/>
        </w:rPr>
      </w:pPr>
      <w:r w:rsidRPr="00461A4E">
        <w:rPr>
          <w:rFonts w:ascii="Arial" w:hAnsi="Arial" w:cs="Arial"/>
          <w:color w:val="000000" w:themeColor="text1"/>
        </w:rPr>
        <w:t>Os Administradores da sociedade</w:t>
      </w:r>
      <w:r w:rsidR="0012214D" w:rsidRPr="00461A4E">
        <w:rPr>
          <w:rFonts w:ascii="Arial" w:hAnsi="Arial" w:cs="Arial"/>
          <w:color w:val="000000" w:themeColor="text1"/>
        </w:rPr>
        <w:t xml:space="preserve"> </w:t>
      </w:r>
      <w:r w:rsidRPr="00461A4E">
        <w:rPr>
          <w:rFonts w:ascii="Arial" w:hAnsi="Arial" w:cs="Arial"/>
          <w:color w:val="000000" w:themeColor="text1"/>
        </w:rPr>
        <w:t>identificaram necessidade de</w:t>
      </w:r>
      <w:r w:rsidR="0012214D" w:rsidRPr="00461A4E">
        <w:rPr>
          <w:rFonts w:ascii="Arial" w:hAnsi="Arial" w:cs="Arial"/>
          <w:color w:val="000000" w:themeColor="text1"/>
        </w:rPr>
        <w:t xml:space="preserve"> </w:t>
      </w:r>
      <w:r w:rsidRPr="00461A4E">
        <w:rPr>
          <w:rFonts w:ascii="Arial" w:hAnsi="Arial" w:cs="Arial"/>
          <w:color w:val="000000" w:themeColor="text1"/>
        </w:rPr>
        <w:t xml:space="preserve">complemento </w:t>
      </w:r>
      <w:r w:rsidR="00461A4E" w:rsidRPr="00461A4E">
        <w:rPr>
          <w:rFonts w:ascii="Arial" w:hAnsi="Arial" w:cs="Arial"/>
          <w:color w:val="000000" w:themeColor="text1"/>
        </w:rPr>
        <w:t xml:space="preserve">da perda de crédito esperada com base na análise de mercado e a experiência dos profissionais que </w:t>
      </w:r>
      <w:r w:rsidR="00461A4E" w:rsidRPr="00461A4E">
        <w:rPr>
          <w:rFonts w:ascii="Arial" w:hAnsi="Arial" w:cs="Arial"/>
          <w:color w:val="000000" w:themeColor="text1"/>
        </w:rPr>
        <w:lastRenderedPageBreak/>
        <w:t>atuam diretamente com o recebimento de títulos</w:t>
      </w:r>
      <w:r w:rsidRPr="00461A4E">
        <w:rPr>
          <w:rFonts w:ascii="Arial" w:hAnsi="Arial" w:cs="Arial"/>
          <w:color w:val="000000" w:themeColor="text1"/>
        </w:rPr>
        <w:t>,</w:t>
      </w:r>
      <w:r w:rsidR="00461A4E" w:rsidRPr="00461A4E">
        <w:rPr>
          <w:rFonts w:ascii="Arial" w:hAnsi="Arial" w:cs="Arial"/>
          <w:color w:val="000000" w:themeColor="text1"/>
        </w:rPr>
        <w:t xml:space="preserve"> porém </w:t>
      </w:r>
      <w:r w:rsidRPr="00461A4E">
        <w:rPr>
          <w:rFonts w:ascii="Arial" w:hAnsi="Arial" w:cs="Arial"/>
          <w:color w:val="000000" w:themeColor="text1"/>
        </w:rPr>
        <w:t>não identificaram impactos relevantes nas demonstrações financeiras para o exercício findo em 31 de dezembro de 201</w:t>
      </w:r>
      <w:r w:rsidR="004119D5" w:rsidRPr="00461A4E">
        <w:rPr>
          <w:rFonts w:ascii="Arial" w:hAnsi="Arial" w:cs="Arial"/>
          <w:color w:val="000000" w:themeColor="text1"/>
        </w:rPr>
        <w:t>9</w:t>
      </w:r>
      <w:r w:rsidRPr="00461A4E">
        <w:rPr>
          <w:rFonts w:ascii="Arial" w:hAnsi="Arial" w:cs="Arial"/>
          <w:color w:val="000000" w:themeColor="text1"/>
        </w:rPr>
        <w:t>.</w:t>
      </w:r>
    </w:p>
    <w:p w14:paraId="64A589AE" w14:textId="3AEA7ADC" w:rsidR="00830DAB" w:rsidRPr="003234C5" w:rsidRDefault="00B50D56" w:rsidP="00200682">
      <w:pPr>
        <w:jc w:val="both"/>
        <w:rPr>
          <w:rFonts w:ascii="Arial" w:hAnsi="Arial" w:cs="Arial"/>
          <w:b/>
        </w:rPr>
      </w:pPr>
      <w:r w:rsidRPr="003234C5">
        <w:rPr>
          <w:rFonts w:ascii="Arial" w:hAnsi="Arial" w:cs="Arial"/>
          <w:b/>
        </w:rPr>
        <w:t xml:space="preserve">NOTA </w:t>
      </w:r>
      <w:r w:rsidR="0022238F" w:rsidRPr="003234C5">
        <w:rPr>
          <w:rFonts w:ascii="Arial" w:hAnsi="Arial" w:cs="Arial"/>
          <w:b/>
        </w:rPr>
        <w:t>6</w:t>
      </w:r>
      <w:r w:rsidRPr="003234C5">
        <w:rPr>
          <w:rFonts w:ascii="Arial" w:hAnsi="Arial" w:cs="Arial"/>
          <w:b/>
        </w:rPr>
        <w:t xml:space="preserve">. PRINCIPAIS POLÍTICAS CONTÁBEIS </w:t>
      </w:r>
    </w:p>
    <w:p w14:paraId="7CF9394C" w14:textId="10A0D9F3" w:rsidR="00830DAB" w:rsidRPr="003234C5" w:rsidRDefault="00830DAB" w:rsidP="00830DAB">
      <w:pPr>
        <w:ind w:right="50"/>
        <w:jc w:val="both"/>
        <w:rPr>
          <w:rFonts w:ascii="Arial" w:hAnsi="Arial" w:cs="Arial"/>
        </w:rPr>
      </w:pPr>
      <w:r w:rsidRPr="003234C5">
        <w:rPr>
          <w:rFonts w:ascii="Arial" w:hAnsi="Arial" w:cs="Arial"/>
        </w:rPr>
        <w:t>A Companhia aplicou as políticas contábeis descritas abaixo de maneira consistente a todos os exercícios apresentados nestas demonstrações financeiras, salvo indicação em contrário.</w:t>
      </w:r>
    </w:p>
    <w:p w14:paraId="3648C96F" w14:textId="250A706A" w:rsidR="00830DAB" w:rsidRPr="003234C5" w:rsidRDefault="00830DAB" w:rsidP="00830DAB">
      <w:pPr>
        <w:pStyle w:val="PargrafodaLista"/>
        <w:numPr>
          <w:ilvl w:val="0"/>
          <w:numId w:val="12"/>
        </w:numPr>
        <w:ind w:left="426" w:right="50" w:hanging="426"/>
        <w:jc w:val="both"/>
        <w:rPr>
          <w:rFonts w:ascii="Arial" w:hAnsi="Arial" w:cs="Arial"/>
        </w:rPr>
      </w:pPr>
      <w:r w:rsidRPr="003234C5">
        <w:rPr>
          <w:rFonts w:ascii="Arial" w:hAnsi="Arial" w:cs="Arial"/>
        </w:rPr>
        <w:t xml:space="preserve">CAIXA E EQUIVALENTES DE CAIXA  </w:t>
      </w:r>
    </w:p>
    <w:p w14:paraId="366BA185" w14:textId="33FFD63A" w:rsidR="00830DAB" w:rsidRPr="003234C5" w:rsidRDefault="00830DAB" w:rsidP="00830DAB">
      <w:pPr>
        <w:ind w:right="50"/>
        <w:jc w:val="both"/>
        <w:rPr>
          <w:rFonts w:ascii="Arial" w:hAnsi="Arial" w:cs="Arial"/>
        </w:rPr>
      </w:pPr>
      <w:r w:rsidRPr="003234C5">
        <w:rPr>
          <w:rFonts w:ascii="Arial" w:hAnsi="Arial" w:cs="Arial"/>
        </w:rPr>
        <w:t>Incluem caixa, depósitos bancários, aplicações financeiras de curto prazo de alta liquidez, cujos vencimentos originais são inferiores a três meses, que são prontamente conversíveis em um montante conhecido de caixa e que estão sujeitos a um insignificante risco de mudança de valor. Esses ativos são mensurados por seu valor justo, e suas variações são reconhecidas no resultado do exercício, na rubrica “Receitas financeiras” ou “Despesas financeiras”, dependendo do resultado obtido e de acordo com as taxas pactuadas com as instituições financeiras</w:t>
      </w:r>
      <w:r w:rsidR="00F17480" w:rsidRPr="003234C5">
        <w:rPr>
          <w:rFonts w:ascii="Arial" w:hAnsi="Arial" w:cs="Arial"/>
        </w:rPr>
        <w:t>.</w:t>
      </w:r>
    </w:p>
    <w:p w14:paraId="23B4A362" w14:textId="3D9CCA35" w:rsidR="00830DAB" w:rsidRPr="003234C5" w:rsidRDefault="00830DAB" w:rsidP="00830DAB">
      <w:pPr>
        <w:pStyle w:val="PargrafodaLista"/>
        <w:numPr>
          <w:ilvl w:val="0"/>
          <w:numId w:val="12"/>
        </w:numPr>
        <w:ind w:left="426" w:right="50" w:hanging="426"/>
        <w:jc w:val="both"/>
        <w:rPr>
          <w:rFonts w:ascii="Arial" w:hAnsi="Arial" w:cs="Arial"/>
        </w:rPr>
      </w:pPr>
      <w:r w:rsidRPr="003234C5">
        <w:rPr>
          <w:rFonts w:ascii="Arial" w:hAnsi="Arial" w:cs="Arial"/>
        </w:rPr>
        <w:t>APLICAÇÃO FINANCEIRA</w:t>
      </w:r>
    </w:p>
    <w:p w14:paraId="3682FC9C" w14:textId="697C43E0" w:rsidR="00830DAB" w:rsidRPr="003234C5" w:rsidRDefault="00830DAB" w:rsidP="00830DAB">
      <w:pPr>
        <w:ind w:right="50"/>
        <w:jc w:val="both"/>
        <w:rPr>
          <w:rFonts w:ascii="Arial" w:hAnsi="Arial" w:cs="Arial"/>
        </w:rPr>
      </w:pPr>
      <w:r w:rsidRPr="003234C5">
        <w:rPr>
          <w:rFonts w:ascii="Arial" w:hAnsi="Arial" w:cs="Arial"/>
        </w:rPr>
        <w:t>Incluem aplicações financeiras de curto prazo de média liquidez, cujos vencimentos originais são superiores a três meses, sendo</w:t>
      </w:r>
      <w:r w:rsidR="000717DB">
        <w:rPr>
          <w:rFonts w:ascii="Arial" w:hAnsi="Arial" w:cs="Arial"/>
        </w:rPr>
        <w:t>,</w:t>
      </w:r>
      <w:r w:rsidRPr="003234C5">
        <w:rPr>
          <w:rFonts w:ascii="Arial" w:hAnsi="Arial" w:cs="Arial"/>
        </w:rPr>
        <w:t xml:space="preserve"> após este prazo de carência</w:t>
      </w:r>
      <w:r w:rsidR="000717DB">
        <w:rPr>
          <w:rFonts w:ascii="Arial" w:hAnsi="Arial" w:cs="Arial"/>
        </w:rPr>
        <w:t>,</w:t>
      </w:r>
      <w:r w:rsidRPr="003234C5">
        <w:rPr>
          <w:rFonts w:ascii="Arial" w:hAnsi="Arial" w:cs="Arial"/>
        </w:rPr>
        <w:t xml:space="preserve"> mantidas para negociação pela Companhia.</w:t>
      </w:r>
    </w:p>
    <w:p w14:paraId="2199BA7C" w14:textId="0FFBC34C" w:rsidR="00DD5E6F" w:rsidRPr="003234C5" w:rsidRDefault="00DD5E6F" w:rsidP="00DD5E6F">
      <w:pPr>
        <w:pStyle w:val="PargrafodaLista"/>
        <w:numPr>
          <w:ilvl w:val="0"/>
          <w:numId w:val="12"/>
        </w:numPr>
        <w:ind w:left="426" w:right="50" w:hanging="426"/>
        <w:jc w:val="both"/>
        <w:rPr>
          <w:rFonts w:ascii="Arial" w:hAnsi="Arial" w:cs="Arial"/>
        </w:rPr>
      </w:pPr>
      <w:r w:rsidRPr="003234C5">
        <w:rPr>
          <w:rFonts w:ascii="Arial" w:hAnsi="Arial" w:cs="Arial"/>
        </w:rPr>
        <w:t xml:space="preserve">CONTAS A RECEBER DE CLIENTES E </w:t>
      </w:r>
      <w:r w:rsidR="00065D67" w:rsidRPr="003234C5">
        <w:rPr>
          <w:rFonts w:ascii="Arial" w:hAnsi="Arial" w:cs="Arial"/>
        </w:rPr>
        <w:t>PERDAS ESTIMADAS NO RECEBIMENTO DE CRÉDITOS</w:t>
      </w:r>
    </w:p>
    <w:p w14:paraId="4071E98D" w14:textId="21F59674" w:rsidR="00DD5E6F" w:rsidRPr="003234C5" w:rsidRDefault="00DD5E6F" w:rsidP="00DD5E6F">
      <w:pPr>
        <w:ind w:right="50"/>
        <w:jc w:val="both"/>
        <w:rPr>
          <w:rFonts w:ascii="Arial" w:hAnsi="Arial" w:cs="Arial"/>
        </w:rPr>
      </w:pPr>
      <w:r w:rsidRPr="003234C5">
        <w:rPr>
          <w:rFonts w:ascii="Arial" w:hAnsi="Arial" w:cs="Arial"/>
        </w:rPr>
        <w:t>São registradas no balanço pelo valor nominal os títulos representativos de créditos, sendo classificadas no ativo circulante</w:t>
      </w:r>
      <w:r w:rsidR="002A6CE7" w:rsidRPr="003234C5">
        <w:rPr>
          <w:rFonts w:ascii="Arial" w:hAnsi="Arial" w:cs="Arial"/>
        </w:rPr>
        <w:t xml:space="preserve"> e não circulante</w:t>
      </w:r>
      <w:r w:rsidRPr="003234C5">
        <w:rPr>
          <w:rFonts w:ascii="Arial" w:hAnsi="Arial" w:cs="Arial"/>
        </w:rPr>
        <w:t>.</w:t>
      </w:r>
    </w:p>
    <w:p w14:paraId="5E2464AD" w14:textId="67E72C79" w:rsidR="00DD5E6F" w:rsidRDefault="00DD5E6F" w:rsidP="00830DAB">
      <w:pPr>
        <w:ind w:right="50"/>
        <w:jc w:val="both"/>
        <w:rPr>
          <w:rFonts w:ascii="Arial" w:hAnsi="Arial" w:cs="Arial"/>
        </w:rPr>
      </w:pPr>
      <w:r>
        <w:rPr>
          <w:rFonts w:ascii="Arial" w:hAnsi="Arial" w:cs="Arial"/>
        </w:rPr>
        <w:t xml:space="preserve">A </w:t>
      </w:r>
      <w:r w:rsidR="00065D67">
        <w:rPr>
          <w:rFonts w:ascii="Arial" w:hAnsi="Arial" w:cs="Arial"/>
        </w:rPr>
        <w:t>perda estimada no recebimento de créditos</w:t>
      </w:r>
      <w:r>
        <w:rPr>
          <w:rFonts w:ascii="Arial" w:hAnsi="Arial" w:cs="Arial"/>
        </w:rPr>
        <w:t xml:space="preserve"> é calculada por montantes considerados suficientes para cobrir possíveis perdas na realização das contas a receber. </w:t>
      </w:r>
      <w:r w:rsidR="007E27C7">
        <w:rPr>
          <w:rFonts w:ascii="Arial" w:hAnsi="Arial" w:cs="Arial"/>
        </w:rPr>
        <w:t xml:space="preserve">Para tanto, aplica-se os critérios de análise histórica dos recebimentos de títulos da empresa, aliada à experiência dos profissionais que </w:t>
      </w:r>
      <w:r w:rsidR="007E27C7" w:rsidRPr="00B25E84">
        <w:rPr>
          <w:rFonts w:ascii="Arial" w:hAnsi="Arial" w:cs="Arial"/>
        </w:rPr>
        <w:t>trabalham diretamente no recebimento destes valores</w:t>
      </w:r>
      <w:r w:rsidR="007E27C7">
        <w:rPr>
          <w:rFonts w:ascii="Arial" w:hAnsi="Arial" w:cs="Arial"/>
        </w:rPr>
        <w:t>, à análise técnica pormenorizadas dos títulos e à análise de mercado</w:t>
      </w:r>
      <w:r w:rsidR="0050564E">
        <w:rPr>
          <w:rFonts w:ascii="Arial" w:hAnsi="Arial" w:cs="Arial"/>
        </w:rPr>
        <w:t>,</w:t>
      </w:r>
      <w:r>
        <w:rPr>
          <w:rFonts w:ascii="Arial" w:hAnsi="Arial" w:cs="Arial"/>
        </w:rPr>
        <w:t xml:space="preserve"> conforme </w:t>
      </w:r>
      <w:r w:rsidR="008E2E78" w:rsidRPr="0050564E">
        <w:rPr>
          <w:rFonts w:ascii="Arial" w:hAnsi="Arial" w:cs="Arial"/>
        </w:rPr>
        <w:t xml:space="preserve">NBC TG 48 </w:t>
      </w:r>
      <w:r w:rsidRPr="0050564E">
        <w:rPr>
          <w:rFonts w:ascii="Arial" w:hAnsi="Arial" w:cs="Arial"/>
        </w:rPr>
        <w:t>(Instrumentos Financeiros)</w:t>
      </w:r>
      <w:r w:rsidR="0050564E" w:rsidRPr="0050564E">
        <w:rPr>
          <w:rFonts w:ascii="Arial" w:hAnsi="Arial" w:cs="Arial"/>
        </w:rPr>
        <w:t>.</w:t>
      </w:r>
      <w:r w:rsidR="0050564E">
        <w:rPr>
          <w:rFonts w:ascii="Arial" w:hAnsi="Arial" w:cs="Arial"/>
        </w:rPr>
        <w:t xml:space="preserve"> </w:t>
      </w:r>
    </w:p>
    <w:p w14:paraId="28A3ED2A" w14:textId="4A11453C" w:rsidR="0022238F" w:rsidRPr="003234C5" w:rsidRDefault="0022238F" w:rsidP="0022238F">
      <w:pPr>
        <w:pStyle w:val="PargrafodaLista"/>
        <w:numPr>
          <w:ilvl w:val="0"/>
          <w:numId w:val="12"/>
        </w:numPr>
        <w:ind w:left="426" w:right="50" w:hanging="426"/>
        <w:jc w:val="both"/>
        <w:rPr>
          <w:rFonts w:ascii="Arial" w:hAnsi="Arial" w:cs="Arial"/>
        </w:rPr>
      </w:pPr>
      <w:r w:rsidRPr="003234C5">
        <w:rPr>
          <w:rFonts w:ascii="Arial" w:hAnsi="Arial" w:cs="Arial"/>
        </w:rPr>
        <w:t>ESTOQUE</w:t>
      </w:r>
    </w:p>
    <w:p w14:paraId="5C8524DF" w14:textId="1C58FE7E" w:rsidR="0022238F" w:rsidRPr="003234C5" w:rsidRDefault="0022238F" w:rsidP="00830DAB">
      <w:pPr>
        <w:ind w:right="50"/>
        <w:jc w:val="both"/>
        <w:rPr>
          <w:rFonts w:ascii="Arial" w:hAnsi="Arial" w:cs="Arial"/>
        </w:rPr>
      </w:pPr>
      <w:r w:rsidRPr="003234C5">
        <w:rPr>
          <w:rFonts w:ascii="Arial" w:hAnsi="Arial" w:cs="Arial"/>
        </w:rPr>
        <w:t>Os estoques de almoxarifado representam materiais e peças para alocação na manutenção de sua rede de distribuição e equipamentos, refletindo o plano de negócios da Companhia para os exercícios seguintes.</w:t>
      </w:r>
      <w:r w:rsidR="000318B3">
        <w:rPr>
          <w:rFonts w:ascii="Arial" w:hAnsi="Arial" w:cs="Arial"/>
        </w:rPr>
        <w:t xml:space="preserve"> A companhia mantém também estoque de gás natural, que representa o volume de gás armazenado na tubulação após as operações de compra e venda de gás no período. Ambos estoques</w:t>
      </w:r>
      <w:r w:rsidRPr="003234C5">
        <w:rPr>
          <w:rFonts w:ascii="Arial" w:hAnsi="Arial" w:cs="Arial"/>
        </w:rPr>
        <w:t xml:space="preserve"> </w:t>
      </w:r>
      <w:r w:rsidR="000318B3">
        <w:rPr>
          <w:rFonts w:ascii="Arial" w:hAnsi="Arial" w:cs="Arial"/>
        </w:rPr>
        <w:t>e</w:t>
      </w:r>
      <w:r w:rsidRPr="003234C5">
        <w:rPr>
          <w:rFonts w:ascii="Arial" w:hAnsi="Arial" w:cs="Arial"/>
        </w:rPr>
        <w:t>stão avaliados pelo custo médio de aquisição e não superam os preços de mercado</w:t>
      </w:r>
      <w:r w:rsidR="0078181A">
        <w:rPr>
          <w:rFonts w:ascii="Arial" w:hAnsi="Arial" w:cs="Arial"/>
        </w:rPr>
        <w:t xml:space="preserve">. </w:t>
      </w:r>
    </w:p>
    <w:p w14:paraId="4EFC130B" w14:textId="77777777" w:rsidR="00200682" w:rsidRPr="003234C5" w:rsidRDefault="00200682" w:rsidP="0022238F">
      <w:pPr>
        <w:widowControl w:val="0"/>
        <w:numPr>
          <w:ilvl w:val="0"/>
          <w:numId w:val="12"/>
        </w:numPr>
        <w:suppressAutoHyphens w:val="0"/>
        <w:spacing w:line="240" w:lineRule="auto"/>
        <w:ind w:left="426" w:right="50" w:hanging="426"/>
        <w:jc w:val="both"/>
        <w:rPr>
          <w:rFonts w:ascii="Arial" w:hAnsi="Arial" w:cs="Arial"/>
        </w:rPr>
      </w:pPr>
      <w:r w:rsidRPr="003234C5">
        <w:rPr>
          <w:rFonts w:ascii="Arial" w:hAnsi="Arial" w:cs="Arial"/>
        </w:rPr>
        <w:t>CONTRATO DE CONCESSÃO</w:t>
      </w:r>
    </w:p>
    <w:p w14:paraId="3773650A" w14:textId="730DB818" w:rsidR="00200682" w:rsidRPr="003234C5" w:rsidRDefault="00200682" w:rsidP="00200682">
      <w:pPr>
        <w:jc w:val="both"/>
        <w:rPr>
          <w:rFonts w:ascii="Arial" w:hAnsi="Arial" w:cs="Arial"/>
        </w:rPr>
      </w:pPr>
      <w:r w:rsidRPr="003234C5">
        <w:rPr>
          <w:rFonts w:ascii="Arial" w:hAnsi="Arial" w:cs="Arial"/>
        </w:rPr>
        <w:t xml:space="preserve">Foi observada a Interpretação Técnica ICPC 01 (R1), correspondente </w:t>
      </w:r>
      <w:r w:rsidR="003F3DAC" w:rsidRPr="003234C5">
        <w:rPr>
          <w:rFonts w:ascii="Arial" w:hAnsi="Arial" w:cs="Arial"/>
        </w:rPr>
        <w:t xml:space="preserve">à </w:t>
      </w:r>
      <w:r w:rsidRPr="003234C5">
        <w:rPr>
          <w:rFonts w:ascii="Arial" w:hAnsi="Arial" w:cs="Arial"/>
        </w:rPr>
        <w:t>ITG 01</w:t>
      </w:r>
      <w:r w:rsidR="00A724F6" w:rsidRPr="003234C5">
        <w:rPr>
          <w:rFonts w:ascii="Arial" w:hAnsi="Arial" w:cs="Arial"/>
        </w:rPr>
        <w:t xml:space="preserve"> (R1)</w:t>
      </w:r>
      <w:r w:rsidRPr="003234C5">
        <w:rPr>
          <w:rFonts w:ascii="Arial" w:hAnsi="Arial" w:cs="Arial"/>
        </w:rPr>
        <w:t xml:space="preserve">, que orienta as empresas Concessionárias de Serviços Públicos a registrarem </w:t>
      </w:r>
      <w:r w:rsidR="00CE1B2A" w:rsidRPr="003234C5">
        <w:rPr>
          <w:rFonts w:ascii="Arial" w:hAnsi="Arial" w:cs="Arial"/>
        </w:rPr>
        <w:t>o direito de exploração relacionado a</w:t>
      </w:r>
      <w:r w:rsidRPr="003234C5">
        <w:rPr>
          <w:rFonts w:ascii="Arial" w:hAnsi="Arial" w:cs="Arial"/>
        </w:rPr>
        <w:t xml:space="preserve">o contrato de concessão em suas demonstrações financeiras quando da ocorrência da seguinte situação: o Poder Concedente controla ou regulamenta </w:t>
      </w:r>
      <w:r w:rsidRPr="003234C5">
        <w:rPr>
          <w:rFonts w:ascii="Arial" w:hAnsi="Arial" w:cs="Arial"/>
        </w:rPr>
        <w:lastRenderedPageBreak/>
        <w:t xml:space="preserve">quais serviços o Concessionário deve prestar com a infraestrutura, a quem os serviços devem ser prestados e o seu preço. Desta forma, a Companhia reconheceu </w:t>
      </w:r>
      <w:r w:rsidR="00B6158C" w:rsidRPr="003234C5">
        <w:rPr>
          <w:rFonts w:ascii="Arial" w:hAnsi="Arial" w:cs="Arial"/>
        </w:rPr>
        <w:t>como intangível</w:t>
      </w:r>
      <w:r w:rsidRPr="003234C5">
        <w:rPr>
          <w:rFonts w:ascii="Arial" w:hAnsi="Arial" w:cs="Arial"/>
        </w:rPr>
        <w:t xml:space="preserve">, em substituição ao </w:t>
      </w:r>
      <w:r w:rsidR="00B6158C" w:rsidRPr="003234C5">
        <w:rPr>
          <w:rFonts w:ascii="Arial" w:hAnsi="Arial" w:cs="Arial"/>
        </w:rPr>
        <w:t>i</w:t>
      </w:r>
      <w:r w:rsidRPr="003234C5">
        <w:rPr>
          <w:rFonts w:ascii="Arial" w:hAnsi="Arial" w:cs="Arial"/>
        </w:rPr>
        <w:t xml:space="preserve">mobilizado relativo à construção de infraestrutura e </w:t>
      </w:r>
      <w:r w:rsidR="00FE0A17" w:rsidRPr="003234C5">
        <w:rPr>
          <w:rFonts w:ascii="Arial" w:hAnsi="Arial" w:cs="Arial"/>
        </w:rPr>
        <w:t xml:space="preserve">à </w:t>
      </w:r>
      <w:r w:rsidRPr="003234C5">
        <w:rPr>
          <w:rFonts w:ascii="Arial" w:hAnsi="Arial" w:cs="Arial"/>
        </w:rPr>
        <w:t xml:space="preserve">aquisição de bens necessários para a prestação dos serviços de distribuição de gás, o direito de cobrar dos usuários pelo fornecimento de gás. </w:t>
      </w:r>
    </w:p>
    <w:p w14:paraId="7295B0ED" w14:textId="7D80268F" w:rsidR="00123DE3" w:rsidRPr="003234C5" w:rsidRDefault="00123DE3" w:rsidP="00200682">
      <w:pPr>
        <w:jc w:val="both"/>
        <w:rPr>
          <w:rFonts w:ascii="Arial" w:hAnsi="Arial" w:cs="Arial"/>
        </w:rPr>
      </w:pPr>
      <w:r w:rsidRPr="003234C5">
        <w:rPr>
          <w:rFonts w:ascii="Arial" w:hAnsi="Arial" w:cs="Arial"/>
        </w:rPr>
        <w:t>Nos termos do contrato de concessão de distribuição de gás canalizado, que estão ao alcance do ICPC 01 (R1), o concessionário atua como prestador de serviços para o poder concedente quando constrói</w:t>
      </w:r>
      <w:r w:rsidR="004F7421" w:rsidRPr="003234C5">
        <w:rPr>
          <w:rFonts w:ascii="Arial" w:hAnsi="Arial" w:cs="Arial"/>
        </w:rPr>
        <w:t xml:space="preserve"> ou melhora a infraestrutura usada para prestar um serviço público por conta própria ou através de terceiros. Ao prestar o serviço, o concessionário deve mensurar e reconhecer a receita dos serviços que presta de acordo com </w:t>
      </w:r>
      <w:r w:rsidR="00EB165D" w:rsidRPr="003234C5">
        <w:rPr>
          <w:rFonts w:ascii="Arial" w:hAnsi="Arial" w:cs="Arial"/>
        </w:rPr>
        <w:t xml:space="preserve">o </w:t>
      </w:r>
      <w:r w:rsidR="008E2E78" w:rsidRPr="003234C5">
        <w:rPr>
          <w:rFonts w:ascii="Arial" w:hAnsi="Arial" w:cs="Arial"/>
        </w:rPr>
        <w:t>NBC TG 47</w:t>
      </w:r>
      <w:r w:rsidR="00EB165D" w:rsidRPr="003234C5">
        <w:rPr>
          <w:rFonts w:ascii="Arial" w:hAnsi="Arial" w:cs="Arial"/>
        </w:rPr>
        <w:t>.</w:t>
      </w:r>
    </w:p>
    <w:p w14:paraId="246AF1AB" w14:textId="550942DD" w:rsidR="004F7421" w:rsidRPr="003234C5" w:rsidRDefault="004F7421" w:rsidP="00200682">
      <w:pPr>
        <w:jc w:val="both"/>
        <w:rPr>
          <w:rFonts w:ascii="Arial" w:hAnsi="Arial" w:cs="Arial"/>
        </w:rPr>
      </w:pPr>
      <w:r w:rsidRPr="003234C5">
        <w:rPr>
          <w:rFonts w:ascii="Arial" w:hAnsi="Arial" w:cs="Arial"/>
        </w:rPr>
        <w:t xml:space="preserve">A construção da infraestrutura é considerada como prestação de serviços ao Poder Concedente, sendo que a correspondente receita é reconhecida ao resultado por valor igual ao custo, tendo em vista que não existe margem definida no </w:t>
      </w:r>
      <w:r w:rsidR="005621FD" w:rsidRPr="003234C5">
        <w:rPr>
          <w:rFonts w:ascii="Arial" w:hAnsi="Arial" w:cs="Arial"/>
        </w:rPr>
        <w:t>C</w:t>
      </w:r>
      <w:r w:rsidRPr="003234C5">
        <w:rPr>
          <w:rFonts w:ascii="Arial" w:hAnsi="Arial" w:cs="Arial"/>
        </w:rPr>
        <w:t>ontrato de Concessão para esse serviço.</w:t>
      </w:r>
    </w:p>
    <w:p w14:paraId="0EFFE8EB" w14:textId="200F9586" w:rsidR="00200682" w:rsidRPr="003234C5" w:rsidRDefault="004F7421" w:rsidP="008C71D1">
      <w:pPr>
        <w:jc w:val="both"/>
        <w:rPr>
          <w:rFonts w:ascii="Arial" w:hAnsi="Arial" w:cs="Arial"/>
          <w:lang w:eastAsia="ar-SA"/>
        </w:rPr>
      </w:pPr>
      <w:r w:rsidRPr="003234C5">
        <w:rPr>
          <w:rFonts w:ascii="Arial" w:hAnsi="Arial" w:cs="Arial"/>
        </w:rPr>
        <w:t>Essa prestação de serviço gera ao concessionário o benefício de poder cobrar do usuário do serviço, via tarifa, o retorno do valor dispendido</w:t>
      </w:r>
      <w:r w:rsidR="0078181A">
        <w:rPr>
          <w:rFonts w:ascii="Arial" w:hAnsi="Arial" w:cs="Arial"/>
        </w:rPr>
        <w:t>.</w:t>
      </w:r>
      <w:r w:rsidR="0078181A">
        <w:rPr>
          <w:rFonts w:ascii="Arial" w:hAnsi="Arial" w:cs="Arial"/>
          <w:lang w:eastAsia="ar-SA"/>
        </w:rPr>
        <w:t xml:space="preserve"> </w:t>
      </w:r>
      <w:r w:rsidR="0073632B" w:rsidRPr="003234C5">
        <w:rPr>
          <w:rFonts w:ascii="Arial" w:hAnsi="Arial" w:cs="Arial"/>
          <w:lang w:eastAsia="ar-SA"/>
        </w:rPr>
        <w:t>A</w:t>
      </w:r>
      <w:r w:rsidR="00200682" w:rsidRPr="003234C5">
        <w:rPr>
          <w:rFonts w:ascii="Arial" w:hAnsi="Arial" w:cs="Arial"/>
          <w:lang w:eastAsia="ar-SA"/>
        </w:rPr>
        <w:t xml:space="preserve">o final do período da concessão, especificamente nos últimos 10 anos, quando não será mais possível </w:t>
      </w:r>
      <w:r w:rsidR="00FE0A17" w:rsidRPr="003234C5">
        <w:rPr>
          <w:rFonts w:ascii="Arial" w:hAnsi="Arial" w:cs="Arial"/>
          <w:lang w:eastAsia="ar-SA"/>
        </w:rPr>
        <w:t xml:space="preserve">a </w:t>
      </w:r>
      <w:r w:rsidR="00200682" w:rsidRPr="003234C5">
        <w:rPr>
          <w:rFonts w:ascii="Arial" w:hAnsi="Arial" w:cs="Arial"/>
          <w:lang w:eastAsia="ar-SA"/>
        </w:rPr>
        <w:t>recuperação dos investimentos via tarifa, a concessionária registrará</w:t>
      </w:r>
      <w:r w:rsidR="00FE0A17" w:rsidRPr="003234C5">
        <w:rPr>
          <w:rFonts w:ascii="Arial" w:hAnsi="Arial" w:cs="Arial"/>
          <w:lang w:eastAsia="ar-SA"/>
        </w:rPr>
        <w:t>,</w:t>
      </w:r>
      <w:r w:rsidR="00200682" w:rsidRPr="003234C5">
        <w:rPr>
          <w:rFonts w:ascii="Arial" w:hAnsi="Arial" w:cs="Arial"/>
          <w:lang w:eastAsia="ar-SA"/>
        </w:rPr>
        <w:t xml:space="preserve"> como ativo financeiro a ser indenizável pelo poder concedente, os valores </w:t>
      </w:r>
      <w:r w:rsidR="0078181A">
        <w:rPr>
          <w:rFonts w:ascii="Arial" w:hAnsi="Arial" w:cs="Arial"/>
          <w:lang w:eastAsia="ar-SA"/>
        </w:rPr>
        <w:t xml:space="preserve">residuais </w:t>
      </w:r>
      <w:r w:rsidR="00200682" w:rsidRPr="003234C5">
        <w:rPr>
          <w:rFonts w:ascii="Arial" w:hAnsi="Arial" w:cs="Arial"/>
          <w:lang w:eastAsia="ar-SA"/>
        </w:rPr>
        <w:t>de investimentos realizados na construção da infraestrutura.</w:t>
      </w:r>
    </w:p>
    <w:p w14:paraId="0A972C8E" w14:textId="77777777" w:rsidR="00200682" w:rsidRPr="003234C5" w:rsidRDefault="00200682" w:rsidP="00200682">
      <w:pPr>
        <w:widowControl w:val="0"/>
        <w:numPr>
          <w:ilvl w:val="0"/>
          <w:numId w:val="12"/>
        </w:numPr>
        <w:suppressAutoHyphens w:val="0"/>
        <w:spacing w:line="240" w:lineRule="auto"/>
        <w:ind w:left="426" w:right="50"/>
        <w:jc w:val="both"/>
        <w:rPr>
          <w:rFonts w:ascii="Arial" w:hAnsi="Arial" w:cs="Arial"/>
        </w:rPr>
      </w:pPr>
      <w:r w:rsidRPr="003234C5">
        <w:rPr>
          <w:rFonts w:ascii="Arial" w:hAnsi="Arial" w:cs="Arial"/>
        </w:rPr>
        <w:t>ATIVOS INTANGÍVEIS</w:t>
      </w:r>
    </w:p>
    <w:p w14:paraId="64950B5E" w14:textId="412C7D98" w:rsidR="00200682" w:rsidRPr="003234C5" w:rsidRDefault="00200682" w:rsidP="00200682">
      <w:pPr>
        <w:ind w:right="51"/>
        <w:jc w:val="both"/>
        <w:rPr>
          <w:rFonts w:ascii="Arial" w:hAnsi="Arial" w:cs="Arial"/>
        </w:rPr>
      </w:pPr>
      <w:r w:rsidRPr="003234C5">
        <w:rPr>
          <w:rFonts w:ascii="Arial" w:hAnsi="Arial" w:cs="Arial"/>
        </w:rPr>
        <w:t>Para os Ativos Intangíveis</w:t>
      </w:r>
      <w:r w:rsidR="003F3DAC" w:rsidRPr="003234C5">
        <w:rPr>
          <w:rFonts w:ascii="Arial" w:hAnsi="Arial" w:cs="Arial"/>
        </w:rPr>
        <w:t>,</w:t>
      </w:r>
      <w:r w:rsidRPr="003234C5">
        <w:rPr>
          <w:rFonts w:ascii="Arial" w:hAnsi="Arial" w:cs="Arial"/>
        </w:rPr>
        <w:t xml:space="preserve"> foi observada a NBC TG 04 (</w:t>
      </w:r>
      <w:r w:rsidR="00A724F6" w:rsidRPr="003234C5">
        <w:rPr>
          <w:rFonts w:ascii="Arial" w:hAnsi="Arial" w:cs="Arial"/>
        </w:rPr>
        <w:t>R4</w:t>
      </w:r>
      <w:r w:rsidRPr="003234C5">
        <w:rPr>
          <w:rFonts w:ascii="Arial" w:hAnsi="Arial" w:cs="Arial"/>
        </w:rPr>
        <w:t xml:space="preserve">), </w:t>
      </w:r>
      <w:r w:rsidR="003F3DAC" w:rsidRPr="003234C5">
        <w:rPr>
          <w:rFonts w:ascii="Arial" w:hAnsi="Arial" w:cs="Arial"/>
        </w:rPr>
        <w:t xml:space="preserve">a </w:t>
      </w:r>
      <w:r w:rsidRPr="003234C5">
        <w:rPr>
          <w:rFonts w:ascii="Arial" w:hAnsi="Arial" w:cs="Arial"/>
        </w:rPr>
        <w:t xml:space="preserve">qual define o tratamento contábil a ser dado aos ativos intangíveis que não são abrangidos especificamente por outros pronunciamentos. A </w:t>
      </w:r>
      <w:r w:rsidR="00B94921" w:rsidRPr="003234C5">
        <w:rPr>
          <w:rFonts w:ascii="Arial" w:hAnsi="Arial" w:cs="Arial"/>
        </w:rPr>
        <w:t>C</w:t>
      </w:r>
      <w:r w:rsidRPr="003234C5">
        <w:rPr>
          <w:rFonts w:ascii="Arial" w:hAnsi="Arial" w:cs="Arial"/>
        </w:rPr>
        <w:t xml:space="preserve">ompanhia apresenta, em seu ativo intangível, os valores referentes à construção de infraestrutura e </w:t>
      </w:r>
      <w:r w:rsidR="00FE0A17" w:rsidRPr="003234C5">
        <w:rPr>
          <w:rFonts w:ascii="Arial" w:hAnsi="Arial" w:cs="Arial"/>
        </w:rPr>
        <w:t xml:space="preserve">à </w:t>
      </w:r>
      <w:r w:rsidRPr="003234C5">
        <w:rPr>
          <w:rFonts w:ascii="Arial" w:hAnsi="Arial" w:cs="Arial"/>
        </w:rPr>
        <w:t>aquisição de bens necessários para a prestação dos serviços de distribuição de gás.</w:t>
      </w:r>
    </w:p>
    <w:p w14:paraId="23A325B1" w14:textId="507473B8" w:rsidR="0022238F" w:rsidRPr="003234C5" w:rsidRDefault="0022238F" w:rsidP="0022238F">
      <w:pPr>
        <w:jc w:val="both"/>
        <w:rPr>
          <w:rFonts w:ascii="Arial" w:hAnsi="Arial" w:cs="Arial"/>
        </w:rPr>
      </w:pPr>
      <w:r w:rsidRPr="003234C5">
        <w:rPr>
          <w:rFonts w:ascii="Arial" w:hAnsi="Arial" w:cs="Arial"/>
        </w:rPr>
        <w:t xml:space="preserve">É demonstrado ao custo de aquisição, deduzido da amortização acumulada equivalente. Em atendimento ao ICPC 01 (R1), o Intangível decorre do Contrato de Concessão, e o seu montante é constituído pelo somatório dos valores desembolsados para a construção da infraestrutura e aquisição de bens necessários à prestação dos serviços de distribuição de gás, conforme divulgado na nota explicativa nº </w:t>
      </w:r>
      <w:r w:rsidR="0078181A" w:rsidRPr="003234C5">
        <w:rPr>
          <w:rFonts w:ascii="Arial" w:hAnsi="Arial" w:cs="Arial"/>
        </w:rPr>
        <w:t>1</w:t>
      </w:r>
      <w:r w:rsidR="0078181A">
        <w:rPr>
          <w:rFonts w:ascii="Arial" w:hAnsi="Arial" w:cs="Arial"/>
        </w:rPr>
        <w:t>8</w:t>
      </w:r>
      <w:r w:rsidRPr="003234C5">
        <w:rPr>
          <w:rFonts w:ascii="Arial" w:hAnsi="Arial" w:cs="Arial"/>
        </w:rPr>
        <w:t xml:space="preserve">. A taxa para a amortização do Intangível é estabelecida no Contrato de Concessão firmado com o Governo do Estado do Ceará, que estabelece o prazo de 10 anos, estando, portanto, o método da amortização fundamentado no item 98B da </w:t>
      </w:r>
      <w:bookmarkStart w:id="1" w:name="OLE_LINK49"/>
      <w:r w:rsidRPr="003234C5">
        <w:rPr>
          <w:rFonts w:ascii="Arial" w:hAnsi="Arial" w:cs="Arial"/>
        </w:rPr>
        <w:t xml:space="preserve">Revisão </w:t>
      </w:r>
      <w:r w:rsidR="0078181A" w:rsidRPr="003234C5">
        <w:rPr>
          <w:rFonts w:ascii="Arial" w:hAnsi="Arial" w:cs="Arial"/>
        </w:rPr>
        <w:t>N° 08/15</w:t>
      </w:r>
      <w:r w:rsidR="0078181A">
        <w:rPr>
          <w:rFonts w:ascii="Arial" w:hAnsi="Arial" w:cs="Arial"/>
        </w:rPr>
        <w:t xml:space="preserve"> </w:t>
      </w:r>
      <w:r w:rsidRPr="003234C5">
        <w:rPr>
          <w:rFonts w:ascii="Arial" w:hAnsi="Arial" w:cs="Arial"/>
        </w:rPr>
        <w:t>d</w:t>
      </w:r>
      <w:r w:rsidR="0078181A">
        <w:rPr>
          <w:rFonts w:ascii="Arial" w:hAnsi="Arial" w:cs="Arial"/>
        </w:rPr>
        <w:t>o</w:t>
      </w:r>
      <w:r w:rsidRPr="003234C5">
        <w:rPr>
          <w:rFonts w:ascii="Arial" w:hAnsi="Arial" w:cs="Arial"/>
        </w:rPr>
        <w:t xml:space="preserve"> Pronunciamentos Técnicos </w:t>
      </w:r>
      <w:bookmarkEnd w:id="1"/>
      <w:r w:rsidRPr="003234C5">
        <w:rPr>
          <w:rFonts w:ascii="Arial" w:hAnsi="Arial" w:cs="Arial"/>
        </w:rPr>
        <w:t xml:space="preserve">do Conselho Federal de Contabilidade, que estabelece a possibilidade da Companhia determinar sua taxa em decorrência de um fator limitante predominante que é inerente ao seu ativo intangível. </w:t>
      </w:r>
    </w:p>
    <w:p w14:paraId="6AADABC2" w14:textId="1E884212" w:rsidR="0022238F" w:rsidRPr="003234C5" w:rsidRDefault="0022238F" w:rsidP="0022238F">
      <w:pPr>
        <w:ind w:right="51"/>
        <w:jc w:val="both"/>
        <w:rPr>
          <w:rFonts w:ascii="Arial" w:hAnsi="Arial" w:cs="Arial"/>
        </w:rPr>
      </w:pPr>
      <w:r w:rsidRPr="003234C5">
        <w:rPr>
          <w:rFonts w:ascii="Arial" w:hAnsi="Arial" w:cs="Arial"/>
        </w:rPr>
        <w:t xml:space="preserve">As amortizações dos itens que compõem o Intangível foram calculadas pelo método linear, e taxas anuais descritas na nota explicativa nº </w:t>
      </w:r>
      <w:r w:rsidR="002C1D58" w:rsidRPr="003234C5">
        <w:rPr>
          <w:rFonts w:ascii="Arial" w:hAnsi="Arial" w:cs="Arial"/>
        </w:rPr>
        <w:t>1</w:t>
      </w:r>
      <w:r w:rsidR="002C1D58">
        <w:rPr>
          <w:rFonts w:ascii="Arial" w:hAnsi="Arial" w:cs="Arial"/>
        </w:rPr>
        <w:t>8</w:t>
      </w:r>
      <w:r w:rsidRPr="003234C5">
        <w:rPr>
          <w:rFonts w:ascii="Arial" w:hAnsi="Arial" w:cs="Arial"/>
        </w:rPr>
        <w:t xml:space="preserve">. </w:t>
      </w:r>
    </w:p>
    <w:p w14:paraId="44E1EF70" w14:textId="77777777" w:rsidR="00200682" w:rsidRPr="003234C5" w:rsidRDefault="00200682" w:rsidP="0022238F">
      <w:pPr>
        <w:widowControl w:val="0"/>
        <w:numPr>
          <w:ilvl w:val="0"/>
          <w:numId w:val="12"/>
        </w:numPr>
        <w:suppressAutoHyphens w:val="0"/>
        <w:spacing w:line="240" w:lineRule="auto"/>
        <w:ind w:left="426" w:right="50" w:hanging="426"/>
        <w:jc w:val="both"/>
        <w:rPr>
          <w:rFonts w:ascii="Arial" w:hAnsi="Arial" w:cs="Arial"/>
        </w:rPr>
      </w:pPr>
      <w:r w:rsidRPr="003234C5">
        <w:rPr>
          <w:rFonts w:ascii="Arial" w:hAnsi="Arial" w:cs="Arial"/>
        </w:rPr>
        <w:t>REDUÇÃO AO VALOR RECUPERÁVEL DE ATIVOS (VRA) – (</w:t>
      </w:r>
      <w:proofErr w:type="spellStart"/>
      <w:r w:rsidRPr="003234C5">
        <w:rPr>
          <w:rFonts w:ascii="Arial" w:hAnsi="Arial" w:cs="Arial"/>
          <w:i/>
        </w:rPr>
        <w:t>Impairment</w:t>
      </w:r>
      <w:proofErr w:type="spellEnd"/>
      <w:r w:rsidRPr="003234C5">
        <w:rPr>
          <w:rFonts w:ascii="Arial" w:hAnsi="Arial" w:cs="Arial"/>
        </w:rPr>
        <w:t>)</w:t>
      </w:r>
    </w:p>
    <w:p w14:paraId="2AAB70CF" w14:textId="0856504A" w:rsidR="00200682" w:rsidRPr="003234C5" w:rsidRDefault="00200682" w:rsidP="00200682">
      <w:pPr>
        <w:ind w:right="51"/>
        <w:jc w:val="both"/>
        <w:rPr>
          <w:rFonts w:ascii="Arial" w:hAnsi="Arial" w:cs="Arial"/>
        </w:rPr>
      </w:pPr>
      <w:r w:rsidRPr="003234C5">
        <w:rPr>
          <w:rFonts w:ascii="Arial" w:hAnsi="Arial" w:cs="Arial"/>
        </w:rPr>
        <w:t>Para o VRA</w:t>
      </w:r>
      <w:r w:rsidR="003F3DAC" w:rsidRPr="003234C5">
        <w:rPr>
          <w:rFonts w:ascii="Arial" w:hAnsi="Arial" w:cs="Arial"/>
        </w:rPr>
        <w:t>,</w:t>
      </w:r>
      <w:r w:rsidRPr="003234C5">
        <w:rPr>
          <w:rFonts w:ascii="Arial" w:hAnsi="Arial" w:cs="Arial"/>
        </w:rPr>
        <w:t xml:space="preserve"> foi observada a NBC TG 01 (</w:t>
      </w:r>
      <w:r w:rsidR="00FF2B8F" w:rsidRPr="003234C5">
        <w:rPr>
          <w:rFonts w:ascii="Arial" w:hAnsi="Arial" w:cs="Arial"/>
        </w:rPr>
        <w:t>R4</w:t>
      </w:r>
      <w:r w:rsidRPr="003234C5">
        <w:rPr>
          <w:rFonts w:ascii="Arial" w:hAnsi="Arial" w:cs="Arial"/>
        </w:rPr>
        <w:t>), que define procedimentos visando</w:t>
      </w:r>
      <w:r w:rsidR="00777F2C" w:rsidRPr="003234C5">
        <w:rPr>
          <w:rFonts w:ascii="Arial" w:hAnsi="Arial" w:cs="Arial"/>
        </w:rPr>
        <w:t xml:space="preserve"> a assegurar</w:t>
      </w:r>
      <w:r w:rsidRPr="003234C5">
        <w:rPr>
          <w:rFonts w:ascii="Arial" w:hAnsi="Arial" w:cs="Arial"/>
        </w:rPr>
        <w:t xml:space="preserve"> que os ativos da sociedade não estejam registrados contabilmente por um valor superior àquele passível de ser recuperado por uso ou venda. Caso existam evidências claras de que </w:t>
      </w:r>
      <w:r w:rsidRPr="003234C5">
        <w:rPr>
          <w:rFonts w:ascii="Arial" w:hAnsi="Arial" w:cs="Arial"/>
        </w:rPr>
        <w:lastRenderedPageBreak/>
        <w:t>ativos estão avaliados por valor não recuperável no futuro, a sociedade deverá imediatamente reconhecer a desvalorização por meio da constituição de provisão para perdas, que pode</w:t>
      </w:r>
      <w:r w:rsidR="00B82CCB">
        <w:rPr>
          <w:rFonts w:ascii="Arial" w:hAnsi="Arial" w:cs="Arial"/>
        </w:rPr>
        <w:t>rá</w:t>
      </w:r>
      <w:r w:rsidRPr="003234C5">
        <w:rPr>
          <w:rFonts w:ascii="Arial" w:hAnsi="Arial" w:cs="Arial"/>
        </w:rPr>
        <w:t xml:space="preserve"> ser revertida.</w:t>
      </w:r>
      <w:r w:rsidR="002C1D58">
        <w:rPr>
          <w:rFonts w:ascii="Arial" w:hAnsi="Arial" w:cs="Arial"/>
        </w:rPr>
        <w:t xml:space="preserve"> Não identificamos </w:t>
      </w:r>
      <w:r w:rsidR="00CD002C">
        <w:rPr>
          <w:rFonts w:ascii="Arial" w:hAnsi="Arial" w:cs="Arial"/>
        </w:rPr>
        <w:t>evidências</w:t>
      </w:r>
      <w:r w:rsidR="002C1D58">
        <w:rPr>
          <w:rFonts w:ascii="Arial" w:hAnsi="Arial" w:cs="Arial"/>
        </w:rPr>
        <w:t xml:space="preserve"> de perda no valor recuperável. Apesar disso,</w:t>
      </w:r>
      <w:r w:rsidR="00CD002C">
        <w:rPr>
          <w:rFonts w:ascii="Arial" w:hAnsi="Arial" w:cs="Arial"/>
        </w:rPr>
        <w:t xml:space="preserve"> foi feito o teste de recuperabilidade, visando </w:t>
      </w:r>
      <w:r w:rsidR="00C560F0">
        <w:rPr>
          <w:rFonts w:ascii="Arial" w:hAnsi="Arial" w:cs="Arial"/>
        </w:rPr>
        <w:t xml:space="preserve">a fidedignidade das informações divulgadas. </w:t>
      </w:r>
    </w:p>
    <w:p w14:paraId="0E1375DE" w14:textId="08E9927C" w:rsidR="00200682" w:rsidRPr="003234C5" w:rsidRDefault="00200682" w:rsidP="00200682">
      <w:pPr>
        <w:ind w:right="51"/>
        <w:jc w:val="both"/>
        <w:rPr>
          <w:rFonts w:ascii="Arial" w:hAnsi="Arial" w:cs="Arial"/>
        </w:rPr>
      </w:pPr>
      <w:r w:rsidRPr="003234C5">
        <w:rPr>
          <w:rFonts w:ascii="Arial" w:hAnsi="Arial" w:cs="Arial"/>
        </w:rPr>
        <w:t>Através de estudos, foi demonstrado que o valor contábil líquido do grupo Intangível apresenta capacidade de recuperação, pois o valor presente dos seus fluxos de caixa futuros, ou seja, seu valor em uso</w:t>
      </w:r>
      <w:r w:rsidR="003F3DAC" w:rsidRPr="003234C5">
        <w:rPr>
          <w:rFonts w:ascii="Arial" w:hAnsi="Arial" w:cs="Arial"/>
        </w:rPr>
        <w:t>,</w:t>
      </w:r>
      <w:r w:rsidRPr="003234C5">
        <w:rPr>
          <w:rFonts w:ascii="Arial" w:hAnsi="Arial" w:cs="Arial"/>
        </w:rPr>
        <w:t xml:space="preserve"> é maior do que o seu valor contábil registrado.</w:t>
      </w:r>
    </w:p>
    <w:p w14:paraId="1B9D6FC3" w14:textId="77777777" w:rsidR="00200682" w:rsidRPr="003234C5" w:rsidRDefault="00200682" w:rsidP="00200682">
      <w:pPr>
        <w:ind w:right="51"/>
        <w:jc w:val="both"/>
        <w:rPr>
          <w:rFonts w:ascii="Arial" w:hAnsi="Arial" w:cs="Arial"/>
        </w:rPr>
      </w:pPr>
      <w:r w:rsidRPr="003234C5">
        <w:rPr>
          <w:rFonts w:ascii="Arial" w:hAnsi="Arial" w:cs="Arial"/>
        </w:rPr>
        <w:t xml:space="preserve">O estudo que atestou a recuperabilidade dos ativos foi realizado tomando-se como base o ativo responsável pela geração de caixa, representado pelos bens necessários à prestação dos serviços de distribuição de gás, bens estes pertencentes ao Poder Concedente e registrados no grupo do Ativo Intangível. </w:t>
      </w:r>
    </w:p>
    <w:p w14:paraId="01D54277" w14:textId="7E38D4D8" w:rsidR="00200682" w:rsidRPr="00085B17" w:rsidRDefault="00EF7BE3" w:rsidP="00200682">
      <w:pPr>
        <w:ind w:right="51"/>
        <w:jc w:val="both"/>
        <w:rPr>
          <w:rFonts w:ascii="Arial" w:hAnsi="Arial" w:cs="Arial"/>
          <w:color w:val="FF0000"/>
        </w:rPr>
      </w:pPr>
      <w:r w:rsidRPr="00085B17">
        <w:rPr>
          <w:rFonts w:ascii="Arial" w:hAnsi="Arial" w:cs="Arial"/>
        </w:rPr>
        <w:t xml:space="preserve">O trabalho </w:t>
      </w:r>
      <w:r w:rsidR="00200682" w:rsidRPr="00085B17">
        <w:rPr>
          <w:rFonts w:ascii="Arial" w:hAnsi="Arial" w:cs="Arial"/>
        </w:rPr>
        <w:t>consistiu na elaboração de um fluxo de caixa projetado para período de dez anos, de 20</w:t>
      </w:r>
      <w:r w:rsidR="00085B17" w:rsidRPr="00085B17">
        <w:rPr>
          <w:rFonts w:ascii="Arial" w:hAnsi="Arial" w:cs="Arial"/>
        </w:rPr>
        <w:t>20</w:t>
      </w:r>
      <w:r w:rsidR="00200682" w:rsidRPr="00085B17">
        <w:rPr>
          <w:rFonts w:ascii="Arial" w:hAnsi="Arial" w:cs="Arial"/>
        </w:rPr>
        <w:t xml:space="preserve"> a 202</w:t>
      </w:r>
      <w:r w:rsidR="00085B17" w:rsidRPr="00085B17">
        <w:rPr>
          <w:rFonts w:ascii="Arial" w:hAnsi="Arial" w:cs="Arial"/>
        </w:rPr>
        <w:t>9</w:t>
      </w:r>
      <w:r w:rsidR="00200682" w:rsidRPr="00085B17">
        <w:rPr>
          <w:rFonts w:ascii="Arial" w:hAnsi="Arial" w:cs="Arial"/>
        </w:rPr>
        <w:t xml:space="preserve">. O período estimado no fluxo de caixa foi </w:t>
      </w:r>
      <w:r w:rsidR="00CD207A" w:rsidRPr="00085B17">
        <w:rPr>
          <w:rFonts w:ascii="Arial" w:hAnsi="Arial" w:cs="Arial"/>
        </w:rPr>
        <w:t>estabelecido em</w:t>
      </w:r>
      <w:r w:rsidR="00200682" w:rsidRPr="00085B17">
        <w:rPr>
          <w:rFonts w:ascii="Arial" w:hAnsi="Arial" w:cs="Arial"/>
        </w:rPr>
        <w:t xml:space="preserve"> </w:t>
      </w:r>
      <w:r w:rsidR="006863C1" w:rsidRPr="00085B17">
        <w:rPr>
          <w:rFonts w:ascii="Arial" w:hAnsi="Arial" w:cs="Arial"/>
        </w:rPr>
        <w:t>função</w:t>
      </w:r>
      <w:r w:rsidR="00200682" w:rsidRPr="00085B17">
        <w:rPr>
          <w:rFonts w:ascii="Arial" w:hAnsi="Arial" w:cs="Arial"/>
        </w:rPr>
        <w:t xml:space="preserve"> </w:t>
      </w:r>
      <w:r w:rsidR="006863C1" w:rsidRPr="00085B17">
        <w:rPr>
          <w:rFonts w:ascii="Arial" w:hAnsi="Arial" w:cs="Arial"/>
        </w:rPr>
        <w:t>d</w:t>
      </w:r>
      <w:r w:rsidR="0025172E" w:rsidRPr="00085B17">
        <w:rPr>
          <w:rFonts w:ascii="Arial" w:hAnsi="Arial" w:cs="Arial"/>
        </w:rPr>
        <w:t xml:space="preserve">a metodologia tarifária contida no </w:t>
      </w:r>
      <w:r w:rsidR="006863C1" w:rsidRPr="00085B17">
        <w:rPr>
          <w:rFonts w:ascii="Arial" w:hAnsi="Arial" w:cs="Arial"/>
        </w:rPr>
        <w:t>C</w:t>
      </w:r>
      <w:r w:rsidR="00200682" w:rsidRPr="00085B17">
        <w:rPr>
          <w:rFonts w:ascii="Arial" w:hAnsi="Arial" w:cs="Arial"/>
        </w:rPr>
        <w:t xml:space="preserve">ontrato de </w:t>
      </w:r>
      <w:r w:rsidR="006863C1" w:rsidRPr="00085B17">
        <w:rPr>
          <w:rFonts w:ascii="Arial" w:hAnsi="Arial" w:cs="Arial"/>
        </w:rPr>
        <w:t>C</w:t>
      </w:r>
      <w:r w:rsidR="00200682" w:rsidRPr="00085B17">
        <w:rPr>
          <w:rFonts w:ascii="Arial" w:hAnsi="Arial" w:cs="Arial"/>
        </w:rPr>
        <w:t>oncessão</w:t>
      </w:r>
      <w:r w:rsidR="0025172E" w:rsidRPr="00085B17">
        <w:rPr>
          <w:rFonts w:ascii="Arial" w:hAnsi="Arial" w:cs="Arial"/>
        </w:rPr>
        <w:t>,</w:t>
      </w:r>
      <w:r w:rsidR="00200682" w:rsidRPr="00085B17">
        <w:rPr>
          <w:rFonts w:ascii="Arial" w:hAnsi="Arial" w:cs="Arial"/>
        </w:rPr>
        <w:t xml:space="preserve"> </w:t>
      </w:r>
      <w:r w:rsidR="0025172E" w:rsidRPr="00085B17">
        <w:rPr>
          <w:rFonts w:ascii="Arial" w:hAnsi="Arial" w:cs="Arial"/>
        </w:rPr>
        <w:t>que possibilita a inclusão na tarifa do gás</w:t>
      </w:r>
      <w:r w:rsidR="00BE14E4" w:rsidRPr="00085B17">
        <w:rPr>
          <w:rFonts w:ascii="Arial" w:hAnsi="Arial" w:cs="Arial"/>
        </w:rPr>
        <w:t>,</w:t>
      </w:r>
      <w:r w:rsidR="0025172E" w:rsidRPr="00085B17">
        <w:rPr>
          <w:rFonts w:ascii="Arial" w:hAnsi="Arial" w:cs="Arial"/>
        </w:rPr>
        <w:t xml:space="preserve"> de uma parcela correspondente </w:t>
      </w:r>
      <w:r w:rsidR="00A067B9" w:rsidRPr="00085B17">
        <w:rPr>
          <w:rFonts w:ascii="Arial" w:hAnsi="Arial" w:cs="Arial"/>
        </w:rPr>
        <w:t>à</w:t>
      </w:r>
      <w:r w:rsidR="0025172E" w:rsidRPr="00085B17">
        <w:rPr>
          <w:rFonts w:ascii="Arial" w:hAnsi="Arial" w:cs="Arial"/>
        </w:rPr>
        <w:t xml:space="preserve"> remuneração dos investimentos realizados pela Concessão </w:t>
      </w:r>
      <w:r w:rsidR="00200682" w:rsidRPr="00085B17">
        <w:rPr>
          <w:rFonts w:ascii="Arial" w:hAnsi="Arial" w:cs="Arial"/>
        </w:rPr>
        <w:t>por um período de dez anos.</w:t>
      </w:r>
    </w:p>
    <w:p w14:paraId="6D6392AA" w14:textId="389302FE" w:rsidR="00200682" w:rsidRPr="00637D5A" w:rsidRDefault="00BE14E4" w:rsidP="00200682">
      <w:pPr>
        <w:ind w:right="51"/>
        <w:jc w:val="both"/>
        <w:rPr>
          <w:rFonts w:ascii="Arial" w:hAnsi="Arial" w:cs="Arial"/>
          <w:highlight w:val="yellow"/>
        </w:rPr>
      </w:pPr>
      <w:bookmarkStart w:id="2" w:name="_Hlk527206"/>
      <w:r w:rsidRPr="00085B17">
        <w:rPr>
          <w:rFonts w:ascii="Arial" w:hAnsi="Arial" w:cs="Arial"/>
        </w:rPr>
        <w:t>Na planilha</w:t>
      </w:r>
      <w:r w:rsidR="00200682" w:rsidRPr="00085B17">
        <w:rPr>
          <w:rFonts w:ascii="Arial" w:hAnsi="Arial" w:cs="Arial"/>
        </w:rPr>
        <w:t xml:space="preserve"> </w:t>
      </w:r>
      <w:r w:rsidR="00B94921" w:rsidRPr="00085B17">
        <w:rPr>
          <w:rFonts w:ascii="Arial" w:hAnsi="Arial" w:cs="Arial"/>
        </w:rPr>
        <w:t xml:space="preserve">do </w:t>
      </w:r>
      <w:r w:rsidR="00200682" w:rsidRPr="00085B17">
        <w:rPr>
          <w:rFonts w:ascii="Arial" w:hAnsi="Arial" w:cs="Arial"/>
        </w:rPr>
        <w:t>fluxo de caixa, fo</w:t>
      </w:r>
      <w:r w:rsidRPr="00085B17">
        <w:rPr>
          <w:rFonts w:ascii="Arial" w:hAnsi="Arial" w:cs="Arial"/>
        </w:rPr>
        <w:t>ram</w:t>
      </w:r>
      <w:r w:rsidR="00200682" w:rsidRPr="00085B17">
        <w:rPr>
          <w:rFonts w:ascii="Arial" w:hAnsi="Arial" w:cs="Arial"/>
        </w:rPr>
        <w:t xml:space="preserve"> considerad</w:t>
      </w:r>
      <w:r w:rsidRPr="00085B17">
        <w:rPr>
          <w:rFonts w:ascii="Arial" w:hAnsi="Arial" w:cs="Arial"/>
        </w:rPr>
        <w:t>os</w:t>
      </w:r>
      <w:r w:rsidR="00200682" w:rsidRPr="00085B17">
        <w:rPr>
          <w:rFonts w:ascii="Arial" w:hAnsi="Arial" w:cs="Arial"/>
        </w:rPr>
        <w:t xml:space="preserve"> </w:t>
      </w:r>
      <w:r w:rsidRPr="00085B17">
        <w:rPr>
          <w:rFonts w:ascii="Arial" w:hAnsi="Arial" w:cs="Arial"/>
        </w:rPr>
        <w:t>para o período de 20</w:t>
      </w:r>
      <w:r w:rsidR="00085B17" w:rsidRPr="00085B17">
        <w:rPr>
          <w:rFonts w:ascii="Arial" w:hAnsi="Arial" w:cs="Arial"/>
        </w:rPr>
        <w:t>20</w:t>
      </w:r>
      <w:r w:rsidRPr="00085B17">
        <w:rPr>
          <w:rFonts w:ascii="Arial" w:hAnsi="Arial" w:cs="Arial"/>
        </w:rPr>
        <w:t xml:space="preserve"> a 202</w:t>
      </w:r>
      <w:r w:rsidR="00085B17" w:rsidRPr="00085B17">
        <w:rPr>
          <w:rFonts w:ascii="Arial" w:hAnsi="Arial" w:cs="Arial"/>
        </w:rPr>
        <w:t>4</w:t>
      </w:r>
      <w:r w:rsidRPr="00085B17">
        <w:rPr>
          <w:rFonts w:ascii="Arial" w:hAnsi="Arial" w:cs="Arial"/>
        </w:rPr>
        <w:t xml:space="preserve"> o</w:t>
      </w:r>
      <w:r w:rsidR="00200682" w:rsidRPr="00085B17">
        <w:rPr>
          <w:rFonts w:ascii="Arial" w:hAnsi="Arial" w:cs="Arial"/>
        </w:rPr>
        <w:t xml:space="preserve">s volumes de venda </w:t>
      </w:r>
      <w:r w:rsidRPr="00085B17">
        <w:rPr>
          <w:rFonts w:ascii="Arial" w:hAnsi="Arial" w:cs="Arial"/>
        </w:rPr>
        <w:t xml:space="preserve">orçados no Plano Quinquenal </w:t>
      </w:r>
      <w:r w:rsidR="001E0370" w:rsidRPr="00085B17">
        <w:rPr>
          <w:rFonts w:ascii="Arial" w:hAnsi="Arial" w:cs="Arial"/>
        </w:rPr>
        <w:t>d</w:t>
      </w:r>
      <w:r w:rsidRPr="00085B17">
        <w:rPr>
          <w:rFonts w:ascii="Arial" w:hAnsi="Arial" w:cs="Arial"/>
        </w:rPr>
        <w:t xml:space="preserve">a </w:t>
      </w:r>
      <w:r w:rsidR="00CD207A" w:rsidRPr="00085B17">
        <w:rPr>
          <w:rFonts w:ascii="Arial" w:hAnsi="Arial" w:cs="Arial"/>
        </w:rPr>
        <w:t xml:space="preserve">Companhia </w:t>
      </w:r>
      <w:r w:rsidR="00CD207A" w:rsidRPr="00D33D59">
        <w:rPr>
          <w:rFonts w:ascii="Arial" w:hAnsi="Arial" w:cs="Arial"/>
        </w:rPr>
        <w:t>e</w:t>
      </w:r>
      <w:r w:rsidR="003F3DAC" w:rsidRPr="00D33D59">
        <w:rPr>
          <w:rFonts w:ascii="Arial" w:hAnsi="Arial" w:cs="Arial"/>
        </w:rPr>
        <w:t>,</w:t>
      </w:r>
      <w:r w:rsidRPr="00D33D59">
        <w:rPr>
          <w:rFonts w:ascii="Arial" w:hAnsi="Arial" w:cs="Arial"/>
        </w:rPr>
        <w:t xml:space="preserve"> p</w:t>
      </w:r>
      <w:r w:rsidR="00200682" w:rsidRPr="00D33D59">
        <w:rPr>
          <w:rFonts w:ascii="Arial" w:hAnsi="Arial" w:cs="Arial"/>
        </w:rPr>
        <w:t>ara o período de 202</w:t>
      </w:r>
      <w:r w:rsidR="00085B17" w:rsidRPr="00D33D59">
        <w:rPr>
          <w:rFonts w:ascii="Arial" w:hAnsi="Arial" w:cs="Arial"/>
        </w:rPr>
        <w:t>5</w:t>
      </w:r>
      <w:r w:rsidR="00200682" w:rsidRPr="00D33D59">
        <w:rPr>
          <w:rFonts w:ascii="Arial" w:hAnsi="Arial" w:cs="Arial"/>
        </w:rPr>
        <w:t xml:space="preserve"> </w:t>
      </w:r>
      <w:r w:rsidR="00EC5854" w:rsidRPr="00D33D59">
        <w:rPr>
          <w:rFonts w:ascii="Arial" w:hAnsi="Arial" w:cs="Arial"/>
        </w:rPr>
        <w:t>a</w:t>
      </w:r>
      <w:r w:rsidR="00200682" w:rsidRPr="00D33D59">
        <w:rPr>
          <w:rFonts w:ascii="Arial" w:hAnsi="Arial" w:cs="Arial"/>
        </w:rPr>
        <w:t xml:space="preserve"> 202</w:t>
      </w:r>
      <w:r w:rsidR="00085B17" w:rsidRPr="00D33D59">
        <w:rPr>
          <w:rFonts w:ascii="Arial" w:hAnsi="Arial" w:cs="Arial"/>
        </w:rPr>
        <w:t>9</w:t>
      </w:r>
      <w:r w:rsidR="003F3DAC" w:rsidRPr="00D33D59">
        <w:rPr>
          <w:rFonts w:ascii="Arial" w:hAnsi="Arial" w:cs="Arial"/>
        </w:rPr>
        <w:t>,</w:t>
      </w:r>
      <w:r w:rsidR="00200682" w:rsidRPr="00D33D59">
        <w:rPr>
          <w:rFonts w:ascii="Arial" w:hAnsi="Arial" w:cs="Arial"/>
        </w:rPr>
        <w:t xml:space="preserve"> </w:t>
      </w:r>
      <w:r w:rsidRPr="00D33D59">
        <w:rPr>
          <w:rFonts w:ascii="Arial" w:hAnsi="Arial" w:cs="Arial"/>
        </w:rPr>
        <w:t xml:space="preserve">foi projetado um </w:t>
      </w:r>
      <w:r w:rsidR="00200682" w:rsidRPr="00D33D59">
        <w:rPr>
          <w:rFonts w:ascii="Arial" w:hAnsi="Arial" w:cs="Arial"/>
        </w:rPr>
        <w:t xml:space="preserve">crescimento médio </w:t>
      </w:r>
      <w:r w:rsidRPr="00D33D59">
        <w:rPr>
          <w:rFonts w:ascii="Arial" w:hAnsi="Arial" w:cs="Arial"/>
        </w:rPr>
        <w:t>de volumes de vendas na ordem d</w:t>
      </w:r>
      <w:r w:rsidRPr="00F55F52">
        <w:rPr>
          <w:rFonts w:ascii="Arial" w:hAnsi="Arial" w:cs="Arial"/>
        </w:rPr>
        <w:t>e</w:t>
      </w:r>
      <w:r w:rsidR="00200682" w:rsidRPr="00F55F52">
        <w:rPr>
          <w:rFonts w:ascii="Arial" w:hAnsi="Arial" w:cs="Arial"/>
        </w:rPr>
        <w:t xml:space="preserve"> </w:t>
      </w:r>
      <w:r w:rsidR="000A03BD" w:rsidRPr="00F55F52">
        <w:rPr>
          <w:rFonts w:ascii="Arial" w:hAnsi="Arial" w:cs="Arial"/>
        </w:rPr>
        <w:t>2,67</w:t>
      </w:r>
      <w:r w:rsidR="00200682" w:rsidRPr="00F55F52">
        <w:rPr>
          <w:rFonts w:ascii="Arial" w:hAnsi="Arial" w:cs="Arial"/>
        </w:rPr>
        <w:t>%</w:t>
      </w:r>
      <w:r w:rsidRPr="00D33D59">
        <w:rPr>
          <w:rFonts w:ascii="Arial" w:hAnsi="Arial" w:cs="Arial"/>
        </w:rPr>
        <w:t xml:space="preserve"> </w:t>
      </w:r>
      <w:r w:rsidR="00200682" w:rsidRPr="00D33D59">
        <w:rPr>
          <w:rFonts w:ascii="Arial" w:hAnsi="Arial" w:cs="Arial"/>
        </w:rPr>
        <w:t>para todos os segmentos de distribuição de gás</w:t>
      </w:r>
      <w:r w:rsidRPr="00D33D59">
        <w:rPr>
          <w:rFonts w:ascii="Arial" w:hAnsi="Arial" w:cs="Arial"/>
        </w:rPr>
        <w:t xml:space="preserve"> atendidos pela Companhia</w:t>
      </w:r>
      <w:r w:rsidR="00092AAE" w:rsidRPr="00D33D59">
        <w:rPr>
          <w:rFonts w:ascii="Arial" w:hAnsi="Arial" w:cs="Arial"/>
        </w:rPr>
        <w:t>,</w:t>
      </w:r>
      <w:r w:rsidRPr="00085B17">
        <w:rPr>
          <w:rFonts w:ascii="Arial" w:hAnsi="Arial" w:cs="Arial"/>
        </w:rPr>
        <w:t xml:space="preserve"> </w:t>
      </w:r>
      <w:r w:rsidR="00092AAE" w:rsidRPr="00085B17">
        <w:rPr>
          <w:rFonts w:ascii="Arial" w:hAnsi="Arial" w:cs="Arial"/>
        </w:rPr>
        <w:t>c</w:t>
      </w:r>
      <w:r w:rsidRPr="00085B17">
        <w:rPr>
          <w:rFonts w:ascii="Arial" w:hAnsi="Arial" w:cs="Arial"/>
        </w:rPr>
        <w:t>om exceção d</w:t>
      </w:r>
      <w:r w:rsidR="00200682" w:rsidRPr="00085B17">
        <w:rPr>
          <w:rFonts w:ascii="Arial" w:hAnsi="Arial" w:cs="Arial"/>
        </w:rPr>
        <w:t>o segmento térmico</w:t>
      </w:r>
      <w:r w:rsidRPr="00085B17">
        <w:rPr>
          <w:rFonts w:ascii="Arial" w:hAnsi="Arial" w:cs="Arial"/>
        </w:rPr>
        <w:t xml:space="preserve">, que </w:t>
      </w:r>
      <w:r w:rsidR="00092AAE" w:rsidRPr="00085B17">
        <w:rPr>
          <w:rFonts w:ascii="Arial" w:hAnsi="Arial" w:cs="Arial"/>
        </w:rPr>
        <w:t>não foi considerado para este cálculo.</w:t>
      </w:r>
    </w:p>
    <w:p w14:paraId="1FFE6FE2" w14:textId="7252E9F1" w:rsidR="00200682" w:rsidRPr="0035147B" w:rsidRDefault="00EF7BE3" w:rsidP="00200682">
      <w:pPr>
        <w:ind w:right="51"/>
        <w:jc w:val="both"/>
        <w:rPr>
          <w:rFonts w:ascii="Arial" w:hAnsi="Arial" w:cs="Arial"/>
        </w:rPr>
      </w:pPr>
      <w:r w:rsidRPr="00085B17">
        <w:rPr>
          <w:rFonts w:ascii="Arial" w:hAnsi="Arial" w:cs="Arial"/>
        </w:rPr>
        <w:t>Para os d</w:t>
      </w:r>
      <w:r w:rsidR="007E3AFC" w:rsidRPr="00085B17">
        <w:rPr>
          <w:rFonts w:ascii="Arial" w:hAnsi="Arial" w:cs="Arial"/>
        </w:rPr>
        <w:t>ados referentes ao</w:t>
      </w:r>
      <w:r w:rsidR="00200682" w:rsidRPr="00085B17">
        <w:rPr>
          <w:rFonts w:ascii="Arial" w:hAnsi="Arial" w:cs="Arial"/>
        </w:rPr>
        <w:t>s custos variáveis, as despesas fixas e as tarifas de venda</w:t>
      </w:r>
      <w:r w:rsidR="007E3AFC" w:rsidRPr="00085B17">
        <w:rPr>
          <w:rFonts w:ascii="Arial" w:hAnsi="Arial" w:cs="Arial"/>
        </w:rPr>
        <w:t xml:space="preserve">, </w:t>
      </w:r>
      <w:r w:rsidR="003F3DAC" w:rsidRPr="00085B17">
        <w:rPr>
          <w:rFonts w:ascii="Arial" w:hAnsi="Arial" w:cs="Arial"/>
        </w:rPr>
        <w:t>foram utilizados</w:t>
      </w:r>
      <w:r w:rsidR="007E3AFC" w:rsidRPr="00085B17">
        <w:rPr>
          <w:rFonts w:ascii="Arial" w:hAnsi="Arial" w:cs="Arial"/>
        </w:rPr>
        <w:t xml:space="preserve"> os dados orçados no Plano Quinquenal da Companhia para o</w:t>
      </w:r>
      <w:r w:rsidR="00200682" w:rsidRPr="00085B17">
        <w:rPr>
          <w:rFonts w:ascii="Arial" w:hAnsi="Arial" w:cs="Arial"/>
        </w:rPr>
        <w:t xml:space="preserve"> período de 20</w:t>
      </w:r>
      <w:r w:rsidR="00085B17" w:rsidRPr="00085B17">
        <w:rPr>
          <w:rFonts w:ascii="Arial" w:hAnsi="Arial" w:cs="Arial"/>
        </w:rPr>
        <w:t>20</w:t>
      </w:r>
      <w:r w:rsidR="00200682" w:rsidRPr="00085B17">
        <w:rPr>
          <w:rFonts w:ascii="Arial" w:hAnsi="Arial" w:cs="Arial"/>
        </w:rPr>
        <w:t xml:space="preserve"> a 202</w:t>
      </w:r>
      <w:r w:rsidR="00085B17" w:rsidRPr="00085B17">
        <w:rPr>
          <w:rFonts w:ascii="Arial" w:hAnsi="Arial" w:cs="Arial"/>
        </w:rPr>
        <w:t>4</w:t>
      </w:r>
      <w:r w:rsidR="007E3AFC" w:rsidRPr="00085B17">
        <w:rPr>
          <w:rFonts w:ascii="Arial" w:hAnsi="Arial" w:cs="Arial"/>
        </w:rPr>
        <w:t xml:space="preserve"> e</w:t>
      </w:r>
      <w:r w:rsidR="003F3DAC" w:rsidRPr="00085B17">
        <w:rPr>
          <w:rFonts w:ascii="Arial" w:hAnsi="Arial" w:cs="Arial"/>
        </w:rPr>
        <w:t>,</w:t>
      </w:r>
      <w:r w:rsidR="007E3AFC" w:rsidRPr="00085B17">
        <w:rPr>
          <w:rFonts w:ascii="Arial" w:hAnsi="Arial" w:cs="Arial"/>
        </w:rPr>
        <w:t xml:space="preserve"> p</w:t>
      </w:r>
      <w:r w:rsidR="00200682" w:rsidRPr="00085B17">
        <w:rPr>
          <w:rFonts w:ascii="Arial" w:hAnsi="Arial" w:cs="Arial"/>
        </w:rPr>
        <w:t>ara o período de 202</w:t>
      </w:r>
      <w:r w:rsidR="00085B17" w:rsidRPr="00085B17">
        <w:rPr>
          <w:rFonts w:ascii="Arial" w:hAnsi="Arial" w:cs="Arial"/>
        </w:rPr>
        <w:t>5</w:t>
      </w:r>
      <w:r w:rsidR="00200682" w:rsidRPr="00085B17">
        <w:rPr>
          <w:rFonts w:ascii="Arial" w:hAnsi="Arial" w:cs="Arial"/>
        </w:rPr>
        <w:t xml:space="preserve"> a 202</w:t>
      </w:r>
      <w:r w:rsidR="00085B17" w:rsidRPr="00085B17">
        <w:rPr>
          <w:rFonts w:ascii="Arial" w:hAnsi="Arial" w:cs="Arial"/>
        </w:rPr>
        <w:t>9</w:t>
      </w:r>
      <w:r w:rsidR="003F3DAC" w:rsidRPr="00085B17">
        <w:rPr>
          <w:rFonts w:ascii="Arial" w:hAnsi="Arial" w:cs="Arial"/>
        </w:rPr>
        <w:t>,</w:t>
      </w:r>
      <w:r w:rsidR="00200682" w:rsidRPr="00085B17">
        <w:rPr>
          <w:rFonts w:ascii="Arial" w:hAnsi="Arial" w:cs="Arial"/>
        </w:rPr>
        <w:t xml:space="preserve"> foram utilizados os valores orçados no ano de 202</w:t>
      </w:r>
      <w:r w:rsidR="00085B17" w:rsidRPr="00085B17">
        <w:rPr>
          <w:rFonts w:ascii="Arial" w:hAnsi="Arial" w:cs="Arial"/>
        </w:rPr>
        <w:t>4</w:t>
      </w:r>
      <w:r w:rsidR="00200682" w:rsidRPr="00085B17">
        <w:rPr>
          <w:rFonts w:ascii="Arial" w:hAnsi="Arial" w:cs="Arial"/>
        </w:rPr>
        <w:t xml:space="preserve"> acrescidos </w:t>
      </w:r>
      <w:r w:rsidR="006A6974" w:rsidRPr="00085B17">
        <w:rPr>
          <w:rFonts w:ascii="Arial" w:hAnsi="Arial" w:cs="Arial"/>
        </w:rPr>
        <w:t>da</w:t>
      </w:r>
      <w:r w:rsidR="00200682" w:rsidRPr="00085B17">
        <w:rPr>
          <w:rFonts w:ascii="Arial" w:hAnsi="Arial" w:cs="Arial"/>
        </w:rPr>
        <w:t xml:space="preserve"> inflação </w:t>
      </w:r>
      <w:r w:rsidR="006A6974" w:rsidRPr="00085B17">
        <w:rPr>
          <w:rFonts w:ascii="Arial" w:hAnsi="Arial" w:cs="Arial"/>
        </w:rPr>
        <w:t>acumulada</w:t>
      </w:r>
      <w:r w:rsidR="0035147B">
        <w:rPr>
          <w:rFonts w:ascii="Arial" w:hAnsi="Arial" w:cs="Arial"/>
        </w:rPr>
        <w:t>, índice IGP-M, uma vez que é o mais utilizados na atualização dos contratos da Companhia,</w:t>
      </w:r>
      <w:r w:rsidR="006A6974" w:rsidRPr="00085B17">
        <w:rPr>
          <w:rFonts w:ascii="Arial" w:hAnsi="Arial" w:cs="Arial"/>
        </w:rPr>
        <w:t xml:space="preserve"> </w:t>
      </w:r>
      <w:r w:rsidR="006C45C3">
        <w:rPr>
          <w:rFonts w:ascii="Arial" w:hAnsi="Arial" w:cs="Arial"/>
        </w:rPr>
        <w:t>d</w:t>
      </w:r>
      <w:r w:rsidR="006A6974" w:rsidRPr="00085B17">
        <w:rPr>
          <w:rFonts w:ascii="Arial" w:hAnsi="Arial" w:cs="Arial"/>
        </w:rPr>
        <w:t xml:space="preserve">os últimos 12 meses </w:t>
      </w:r>
      <w:r w:rsidR="006A6974" w:rsidRPr="0035147B">
        <w:rPr>
          <w:rFonts w:ascii="Arial" w:hAnsi="Arial" w:cs="Arial"/>
        </w:rPr>
        <w:t>de</w:t>
      </w:r>
      <w:r w:rsidR="00200682" w:rsidRPr="0035147B">
        <w:rPr>
          <w:rFonts w:ascii="Arial" w:hAnsi="Arial" w:cs="Arial"/>
        </w:rPr>
        <w:t xml:space="preserve"> </w:t>
      </w:r>
      <w:r w:rsidR="000A03BD" w:rsidRPr="0035147B">
        <w:rPr>
          <w:rFonts w:ascii="Arial" w:hAnsi="Arial" w:cs="Arial"/>
        </w:rPr>
        <w:t>3,7</w:t>
      </w:r>
      <w:r w:rsidR="0035147B" w:rsidRPr="0035147B">
        <w:rPr>
          <w:rFonts w:ascii="Arial" w:hAnsi="Arial" w:cs="Arial"/>
        </w:rPr>
        <w:t>1</w:t>
      </w:r>
      <w:r w:rsidR="00200682" w:rsidRPr="0035147B">
        <w:rPr>
          <w:rFonts w:ascii="Arial" w:hAnsi="Arial" w:cs="Arial"/>
        </w:rPr>
        <w:t xml:space="preserve">% </w:t>
      </w:r>
      <w:r w:rsidR="00715409" w:rsidRPr="0035147B">
        <w:rPr>
          <w:rFonts w:ascii="Arial" w:hAnsi="Arial" w:cs="Arial"/>
        </w:rPr>
        <w:t>a.a.</w:t>
      </w:r>
      <w:r w:rsidR="00627D9C" w:rsidRPr="0035147B">
        <w:rPr>
          <w:rFonts w:ascii="Arial" w:hAnsi="Arial" w:cs="Arial"/>
        </w:rPr>
        <w:t xml:space="preserve"> projetados ano a ano para o período, pela aplicação desta última taxa de crescimento ao ano</w:t>
      </w:r>
      <w:r w:rsidR="00200682" w:rsidRPr="0035147B">
        <w:rPr>
          <w:rFonts w:ascii="Arial" w:hAnsi="Arial" w:cs="Arial"/>
        </w:rPr>
        <w:t>.</w:t>
      </w:r>
    </w:p>
    <w:p w14:paraId="3EA3DDF2" w14:textId="5EB68507" w:rsidR="006F41B5" w:rsidRPr="003234C5" w:rsidRDefault="00200682" w:rsidP="00200682">
      <w:pPr>
        <w:ind w:right="51"/>
        <w:jc w:val="both"/>
        <w:rPr>
          <w:rFonts w:ascii="Arial" w:hAnsi="Arial" w:cs="Arial"/>
        </w:rPr>
      </w:pPr>
      <w:r w:rsidRPr="0035147B">
        <w:rPr>
          <w:rFonts w:ascii="Arial" w:hAnsi="Arial" w:cs="Arial"/>
        </w:rPr>
        <w:t xml:space="preserve">Tomando como base as premissas estabelecidas acima, elaborou-se um fluxo de caixa para um prazo de dez anos e apurou-se o seu valor presente com uma taxa de desconto </w:t>
      </w:r>
      <w:r w:rsidR="00C04DF0" w:rsidRPr="0035147B">
        <w:rPr>
          <w:rFonts w:ascii="Arial" w:hAnsi="Arial" w:cs="Arial"/>
        </w:rPr>
        <w:t>baseada na taxa SELIC</w:t>
      </w:r>
      <w:r w:rsidR="00FE0A17" w:rsidRPr="0035147B">
        <w:rPr>
          <w:rFonts w:ascii="Arial" w:hAnsi="Arial" w:cs="Arial"/>
        </w:rPr>
        <w:t>,</w:t>
      </w:r>
      <w:r w:rsidR="00C04DF0" w:rsidRPr="0035147B">
        <w:rPr>
          <w:rFonts w:ascii="Arial" w:hAnsi="Arial" w:cs="Arial"/>
        </w:rPr>
        <w:t xml:space="preserve"> </w:t>
      </w:r>
      <w:r w:rsidRPr="0035147B">
        <w:rPr>
          <w:rFonts w:ascii="Arial" w:hAnsi="Arial" w:cs="Arial"/>
        </w:rPr>
        <w:t>que remunera o Custo de Oportunidade do Capital</w:t>
      </w:r>
      <w:r w:rsidR="00C04DF0" w:rsidRPr="0035147B">
        <w:rPr>
          <w:rFonts w:ascii="Arial" w:hAnsi="Arial" w:cs="Arial"/>
        </w:rPr>
        <w:t xml:space="preserve"> </w:t>
      </w:r>
      <w:r w:rsidRPr="0035147B">
        <w:rPr>
          <w:rFonts w:ascii="Arial" w:hAnsi="Arial" w:cs="Arial"/>
        </w:rPr>
        <w:t xml:space="preserve">de </w:t>
      </w:r>
      <w:r w:rsidR="0035147B" w:rsidRPr="0035147B">
        <w:rPr>
          <w:rFonts w:ascii="Arial" w:hAnsi="Arial" w:cs="Arial"/>
        </w:rPr>
        <w:t>4,25</w:t>
      </w:r>
      <w:r w:rsidRPr="0035147B">
        <w:rPr>
          <w:rFonts w:ascii="Arial" w:hAnsi="Arial" w:cs="Arial"/>
        </w:rPr>
        <w:t xml:space="preserve">% a.a. O resultado desse estudo demonstrou </w:t>
      </w:r>
      <w:r w:rsidR="000D6AEA" w:rsidRPr="0035147B">
        <w:rPr>
          <w:rFonts w:ascii="Arial" w:hAnsi="Arial" w:cs="Arial"/>
        </w:rPr>
        <w:t xml:space="preserve">que os ativos da </w:t>
      </w:r>
      <w:r w:rsidR="00A61A40" w:rsidRPr="0035147B">
        <w:rPr>
          <w:rFonts w:ascii="Arial" w:hAnsi="Arial" w:cs="Arial"/>
        </w:rPr>
        <w:t>sociedade estão</w:t>
      </w:r>
      <w:r w:rsidR="000D6AEA" w:rsidRPr="0035147B">
        <w:rPr>
          <w:rFonts w:ascii="Arial" w:hAnsi="Arial" w:cs="Arial"/>
        </w:rPr>
        <w:t xml:space="preserve"> registrados contabilmente</w:t>
      </w:r>
      <w:r w:rsidR="000D6AEA" w:rsidRPr="003234C5">
        <w:rPr>
          <w:rFonts w:ascii="Arial" w:hAnsi="Arial" w:cs="Arial"/>
        </w:rPr>
        <w:t xml:space="preserve"> por um valor inferior àquele passível de ser recuperado por uso ou venda, com base no método de fluxo de caixa descontado, não havendo necessidade de registro de “</w:t>
      </w:r>
      <w:proofErr w:type="spellStart"/>
      <w:r w:rsidR="000D6AEA" w:rsidRPr="003234C5">
        <w:rPr>
          <w:rFonts w:ascii="Arial" w:hAnsi="Arial" w:cs="Arial"/>
          <w:i/>
          <w:iCs/>
        </w:rPr>
        <w:t>Impairment</w:t>
      </w:r>
      <w:proofErr w:type="spellEnd"/>
      <w:r w:rsidR="000D6AEA" w:rsidRPr="003234C5">
        <w:rPr>
          <w:rFonts w:ascii="Arial" w:hAnsi="Arial" w:cs="Arial"/>
        </w:rPr>
        <w:t>”</w:t>
      </w:r>
      <w:r w:rsidRPr="003234C5">
        <w:rPr>
          <w:rFonts w:ascii="Arial" w:hAnsi="Arial" w:cs="Arial"/>
        </w:rPr>
        <w:t xml:space="preserve">. </w:t>
      </w:r>
      <w:bookmarkEnd w:id="2"/>
    </w:p>
    <w:p w14:paraId="305C649F" w14:textId="77777777" w:rsidR="00200682" w:rsidRPr="003234C5" w:rsidRDefault="00200682" w:rsidP="00E021A5">
      <w:pPr>
        <w:widowControl w:val="0"/>
        <w:numPr>
          <w:ilvl w:val="0"/>
          <w:numId w:val="12"/>
        </w:numPr>
        <w:suppressAutoHyphens w:val="0"/>
        <w:spacing w:line="240" w:lineRule="auto"/>
        <w:ind w:left="426" w:right="50" w:hanging="426"/>
        <w:jc w:val="both"/>
        <w:rPr>
          <w:rFonts w:ascii="Arial" w:hAnsi="Arial" w:cs="Arial"/>
        </w:rPr>
      </w:pPr>
      <w:r w:rsidRPr="003234C5">
        <w:rPr>
          <w:rFonts w:ascii="Arial" w:hAnsi="Arial" w:cs="Arial"/>
        </w:rPr>
        <w:t>SUBVENÇÕES E ASSISTÊNCIAS GOVERNAMENTAIS</w:t>
      </w:r>
    </w:p>
    <w:p w14:paraId="638D057F" w14:textId="38E63758" w:rsidR="00200682" w:rsidRPr="003234C5" w:rsidRDefault="00200682" w:rsidP="00200682">
      <w:pPr>
        <w:ind w:right="51"/>
        <w:jc w:val="both"/>
        <w:rPr>
          <w:rFonts w:ascii="Arial" w:hAnsi="Arial" w:cs="Arial"/>
        </w:rPr>
      </w:pPr>
      <w:r w:rsidRPr="003234C5">
        <w:rPr>
          <w:rFonts w:ascii="Arial" w:hAnsi="Arial" w:cs="Arial"/>
        </w:rPr>
        <w:t>Para as Subvenções e Assistências Governamentais</w:t>
      </w:r>
      <w:r w:rsidR="00FE0A17" w:rsidRPr="003234C5">
        <w:rPr>
          <w:rFonts w:ascii="Arial" w:hAnsi="Arial" w:cs="Arial"/>
        </w:rPr>
        <w:t>,</w:t>
      </w:r>
      <w:r w:rsidRPr="003234C5">
        <w:rPr>
          <w:rFonts w:ascii="Arial" w:hAnsi="Arial" w:cs="Arial"/>
        </w:rPr>
        <w:t xml:space="preserve"> foi observada a NBC TG 07 (</w:t>
      </w:r>
      <w:r w:rsidR="00A61A40" w:rsidRPr="003234C5">
        <w:rPr>
          <w:rFonts w:ascii="Arial" w:hAnsi="Arial" w:cs="Arial"/>
        </w:rPr>
        <w:t>R2</w:t>
      </w:r>
      <w:r w:rsidRPr="003234C5">
        <w:rPr>
          <w:rFonts w:ascii="Arial" w:hAnsi="Arial" w:cs="Arial"/>
        </w:rPr>
        <w:t>), a qual define o procedimento a ser aplicado na contabilização e na divulgação de subvenção governamental e na divulgação de outras formas de assistência governamental. Considerando o disposto na referida NBC TG, a companhia registrou</w:t>
      </w:r>
      <w:r w:rsidR="001F2961" w:rsidRPr="003234C5">
        <w:rPr>
          <w:rFonts w:ascii="Arial" w:hAnsi="Arial" w:cs="Arial"/>
        </w:rPr>
        <w:t>,</w:t>
      </w:r>
      <w:r w:rsidRPr="003234C5">
        <w:rPr>
          <w:rFonts w:ascii="Arial" w:hAnsi="Arial" w:cs="Arial"/>
        </w:rPr>
        <w:t xml:space="preserve"> </w:t>
      </w:r>
      <w:r w:rsidR="001F2961" w:rsidRPr="003234C5">
        <w:rPr>
          <w:rFonts w:ascii="Arial" w:hAnsi="Arial" w:cs="Arial"/>
        </w:rPr>
        <w:t xml:space="preserve">diretamente no resultado do exercício pelo regime de competência, </w:t>
      </w:r>
      <w:r w:rsidRPr="003234C5">
        <w:rPr>
          <w:rFonts w:ascii="Arial" w:hAnsi="Arial" w:cs="Arial"/>
        </w:rPr>
        <w:t>os incentivos fiscais decorrentes de doações ou subvenções governamentais recebid</w:t>
      </w:r>
      <w:r w:rsidR="001F2961" w:rsidRPr="003234C5">
        <w:rPr>
          <w:rFonts w:ascii="Arial" w:hAnsi="Arial" w:cs="Arial"/>
        </w:rPr>
        <w:t>a</w:t>
      </w:r>
      <w:r w:rsidRPr="003234C5">
        <w:rPr>
          <w:rFonts w:ascii="Arial" w:hAnsi="Arial" w:cs="Arial"/>
        </w:rPr>
        <w:t>s.</w:t>
      </w:r>
    </w:p>
    <w:p w14:paraId="009F7F96" w14:textId="3CE27AC9" w:rsidR="00CC350F" w:rsidRPr="003234C5" w:rsidRDefault="00E021A5" w:rsidP="00CC350F">
      <w:pPr>
        <w:widowControl w:val="0"/>
        <w:numPr>
          <w:ilvl w:val="0"/>
          <w:numId w:val="12"/>
        </w:numPr>
        <w:suppressAutoHyphens w:val="0"/>
        <w:spacing w:line="240" w:lineRule="auto"/>
        <w:ind w:left="426" w:right="50" w:hanging="426"/>
        <w:jc w:val="both"/>
        <w:rPr>
          <w:rFonts w:ascii="Arial" w:hAnsi="Arial" w:cs="Arial"/>
        </w:rPr>
      </w:pPr>
      <w:r w:rsidRPr="003234C5">
        <w:rPr>
          <w:rFonts w:ascii="Arial" w:hAnsi="Arial" w:cs="Arial"/>
        </w:rPr>
        <w:t>PROVISÃO PARA IMPOSTO DE RENDA E CONTRIBUIÇÃO SOCIAL</w:t>
      </w:r>
    </w:p>
    <w:p w14:paraId="008B2E30" w14:textId="788894BB" w:rsidR="00CC350F" w:rsidRPr="003234C5" w:rsidRDefault="00E021A5" w:rsidP="0075218C">
      <w:pPr>
        <w:pStyle w:val="PargrafodaLista"/>
        <w:ind w:left="0"/>
        <w:jc w:val="both"/>
        <w:rPr>
          <w:rFonts w:ascii="Arial" w:hAnsi="Arial" w:cs="Arial"/>
        </w:rPr>
      </w:pPr>
      <w:r w:rsidRPr="003234C5">
        <w:rPr>
          <w:rFonts w:ascii="Arial" w:hAnsi="Arial" w:cs="Arial"/>
        </w:rPr>
        <w:lastRenderedPageBreak/>
        <w:t xml:space="preserve">A provisão para imposto de renda é constituída </w:t>
      </w:r>
      <w:r w:rsidR="00A61A40" w:rsidRPr="003234C5">
        <w:rPr>
          <w:rFonts w:ascii="Arial" w:hAnsi="Arial" w:cs="Arial"/>
        </w:rPr>
        <w:t xml:space="preserve">sobre o lucro real </w:t>
      </w:r>
      <w:r w:rsidRPr="003234C5">
        <w:rPr>
          <w:rFonts w:ascii="Arial" w:hAnsi="Arial" w:cs="Arial"/>
        </w:rPr>
        <w:t xml:space="preserve">à alíquota de 15%, mais </w:t>
      </w:r>
      <w:r w:rsidR="00FA6962">
        <w:rPr>
          <w:rFonts w:ascii="Arial" w:hAnsi="Arial" w:cs="Arial"/>
        </w:rPr>
        <w:t>o</w:t>
      </w:r>
      <w:r w:rsidRPr="003234C5">
        <w:rPr>
          <w:rFonts w:ascii="Arial" w:hAnsi="Arial" w:cs="Arial"/>
        </w:rPr>
        <w:t xml:space="preserve"> adicional de 10%, conforme legislação em vigor. </w:t>
      </w:r>
      <w:r w:rsidR="00730E8D">
        <w:rPr>
          <w:rFonts w:ascii="Arial" w:hAnsi="Arial" w:cs="Arial"/>
        </w:rPr>
        <w:t>A</w:t>
      </w:r>
      <w:r w:rsidRPr="003234C5">
        <w:rPr>
          <w:rFonts w:ascii="Arial" w:hAnsi="Arial" w:cs="Arial"/>
        </w:rPr>
        <w:t xml:space="preserve"> provisão para contribuição social é constituída à alíquota de 9% do lucro contábil ajustado, conforme legislação em vigor.</w:t>
      </w:r>
    </w:p>
    <w:p w14:paraId="630C30DF" w14:textId="358A77B4" w:rsidR="00CC350F" w:rsidRPr="003234C5" w:rsidRDefault="00CC350F" w:rsidP="00CC350F">
      <w:pPr>
        <w:ind w:right="51"/>
        <w:jc w:val="both"/>
        <w:rPr>
          <w:rFonts w:ascii="Arial" w:hAnsi="Arial" w:cs="Arial"/>
        </w:rPr>
      </w:pPr>
      <w:r w:rsidRPr="003234C5">
        <w:rPr>
          <w:rFonts w:ascii="Arial" w:hAnsi="Arial" w:cs="Arial"/>
        </w:rPr>
        <w:t>Além dos tributos normalmente incidentes sobre o lucro do período, foram reconhecidos no resultado os efeitos das diferenças temporárias entre o regime contábil da apropriação de receitas e despesas e o seu regime tributário, de acordo com a NBC TG 32 (</w:t>
      </w:r>
      <w:r w:rsidR="00A61A40" w:rsidRPr="003234C5">
        <w:rPr>
          <w:rFonts w:ascii="Arial" w:hAnsi="Arial" w:cs="Arial"/>
        </w:rPr>
        <w:t>R4</w:t>
      </w:r>
      <w:r w:rsidRPr="003234C5">
        <w:rPr>
          <w:rFonts w:ascii="Arial" w:hAnsi="Arial" w:cs="Arial"/>
        </w:rPr>
        <w:t>).</w:t>
      </w:r>
    </w:p>
    <w:p w14:paraId="1A391162" w14:textId="57E0F9E4" w:rsidR="0075218C" w:rsidRPr="003234C5" w:rsidRDefault="0075218C" w:rsidP="0075218C">
      <w:pPr>
        <w:widowControl w:val="0"/>
        <w:numPr>
          <w:ilvl w:val="0"/>
          <w:numId w:val="12"/>
        </w:numPr>
        <w:suppressAutoHyphens w:val="0"/>
        <w:spacing w:line="240" w:lineRule="auto"/>
        <w:ind w:left="426" w:right="50" w:hanging="426"/>
        <w:jc w:val="both"/>
        <w:rPr>
          <w:rFonts w:ascii="Arial" w:hAnsi="Arial" w:cs="Arial"/>
        </w:rPr>
      </w:pPr>
      <w:r w:rsidRPr="003234C5">
        <w:rPr>
          <w:rFonts w:ascii="Arial" w:hAnsi="Arial" w:cs="Arial"/>
        </w:rPr>
        <w:t>JUROS SOBRE O CAPITAL PRÓPRIO</w:t>
      </w:r>
    </w:p>
    <w:p w14:paraId="5D55988D" w14:textId="7A8B3A4B" w:rsidR="00FE0532" w:rsidRPr="003234C5" w:rsidRDefault="0075218C" w:rsidP="0075218C">
      <w:pPr>
        <w:widowControl w:val="0"/>
        <w:suppressAutoHyphens w:val="0"/>
        <w:spacing w:line="240" w:lineRule="auto"/>
        <w:ind w:right="50"/>
        <w:jc w:val="both"/>
        <w:rPr>
          <w:rFonts w:ascii="Arial" w:hAnsi="Arial" w:cs="Arial"/>
        </w:rPr>
      </w:pPr>
      <w:r w:rsidRPr="003234C5">
        <w:rPr>
          <w:rFonts w:ascii="Arial" w:hAnsi="Arial" w:cs="Arial"/>
        </w:rPr>
        <w:t>Em conformidade com o disposto no artigo 9º da Lei nº 9.249/95 e regulamentação posterior, a Companhia contabilizou juros sobre capital próprio como despesa financeira. Para fins de apresentação das demonstrações financeiras e em atendimento à Deliberação CVM nº</w:t>
      </w:r>
      <w:r w:rsidR="004C405D">
        <w:rPr>
          <w:rFonts w:ascii="Arial" w:hAnsi="Arial" w:cs="Arial"/>
        </w:rPr>
        <w:t xml:space="preserve"> </w:t>
      </w:r>
      <w:r w:rsidRPr="003234C5">
        <w:rPr>
          <w:rFonts w:ascii="Arial" w:hAnsi="Arial" w:cs="Arial"/>
        </w:rPr>
        <w:t>207/96, esses juros foram reclassificados de despesa financeira para lucros acumulados, não produzindo efeito no lucro líquido a não ser pelos impactos fiscais.</w:t>
      </w:r>
    </w:p>
    <w:p w14:paraId="3418BBE5" w14:textId="77777777" w:rsidR="00200682" w:rsidRPr="003234C5" w:rsidRDefault="00200682" w:rsidP="00E021A5">
      <w:pPr>
        <w:widowControl w:val="0"/>
        <w:numPr>
          <w:ilvl w:val="0"/>
          <w:numId w:val="12"/>
        </w:numPr>
        <w:suppressAutoHyphens w:val="0"/>
        <w:spacing w:line="240" w:lineRule="auto"/>
        <w:ind w:left="426" w:right="50" w:hanging="426"/>
        <w:jc w:val="both"/>
        <w:rPr>
          <w:rFonts w:ascii="Arial" w:hAnsi="Arial" w:cs="Arial"/>
        </w:rPr>
      </w:pPr>
      <w:r w:rsidRPr="003234C5">
        <w:rPr>
          <w:rFonts w:ascii="Arial" w:hAnsi="Arial" w:cs="Arial"/>
        </w:rPr>
        <w:t>DIVULGAÇÕES SOBRE PARTES RELACIONADAS</w:t>
      </w:r>
    </w:p>
    <w:p w14:paraId="33ED031A" w14:textId="377FF0AB" w:rsidR="00200682" w:rsidRPr="003234C5" w:rsidRDefault="00200682" w:rsidP="00200682">
      <w:pPr>
        <w:jc w:val="both"/>
        <w:rPr>
          <w:rFonts w:ascii="Arial" w:hAnsi="Arial" w:cs="Arial"/>
        </w:rPr>
      </w:pPr>
      <w:r w:rsidRPr="003234C5">
        <w:rPr>
          <w:rFonts w:ascii="Arial" w:hAnsi="Arial" w:cs="Arial"/>
        </w:rPr>
        <w:t>Para as Partes Relacionadas, foi observada a NBC TG 05 (R3), a qual estabelece que as demonstrações financeiras da entidade contenham as divulgações necessárias para evidenciar a possibilidade de que sua posição financeira e seu resultado possam ter sido afetados pela existência de transações e saldos com partes relacionadas.</w:t>
      </w:r>
    </w:p>
    <w:p w14:paraId="0CA80BE8" w14:textId="77777777" w:rsidR="0075218C" w:rsidRPr="003234C5" w:rsidRDefault="0075218C" w:rsidP="0075218C">
      <w:pPr>
        <w:widowControl w:val="0"/>
        <w:numPr>
          <w:ilvl w:val="0"/>
          <w:numId w:val="12"/>
        </w:numPr>
        <w:suppressAutoHyphens w:val="0"/>
        <w:spacing w:after="120" w:line="240" w:lineRule="auto"/>
        <w:ind w:left="425" w:right="51" w:hanging="425"/>
        <w:jc w:val="both"/>
        <w:rPr>
          <w:rFonts w:ascii="Arial" w:hAnsi="Arial" w:cs="Arial"/>
        </w:rPr>
      </w:pPr>
      <w:r w:rsidRPr="003234C5">
        <w:rPr>
          <w:rFonts w:ascii="Arial" w:hAnsi="Arial" w:cs="Arial"/>
        </w:rPr>
        <w:t xml:space="preserve">DEMONSTRAÇÃO DOS FLUXOS DE CAIXA – DFC </w:t>
      </w:r>
    </w:p>
    <w:p w14:paraId="7047C6F1" w14:textId="406F6A78" w:rsidR="0075218C" w:rsidRPr="003234C5" w:rsidRDefault="0075218C" w:rsidP="0075218C">
      <w:pPr>
        <w:ind w:right="51"/>
        <w:jc w:val="both"/>
        <w:rPr>
          <w:rFonts w:ascii="Arial" w:hAnsi="Arial" w:cs="Arial"/>
        </w:rPr>
      </w:pPr>
      <w:r w:rsidRPr="003234C5">
        <w:rPr>
          <w:rFonts w:ascii="Arial" w:hAnsi="Arial" w:cs="Arial"/>
        </w:rPr>
        <w:t>Foram observadas as orientações da NBC TG 03 (R3) no que se refere à apresentação de informações acerca das alterações históricas de caixa e equivalentes de caixa de uma entidade por meio de demonstração que classifique os fluxos de caixa do exercício por atividades operacionais, de investimento e de financiamento. A Demonstração dos Fluxos de Caixa foi apresentada como parte integrante das demonstrações financeiras divulgadas ao final de cada período.</w:t>
      </w:r>
    </w:p>
    <w:p w14:paraId="6B03529C" w14:textId="77777777" w:rsidR="00200682" w:rsidRPr="003234C5" w:rsidRDefault="00200682" w:rsidP="00200682">
      <w:pPr>
        <w:widowControl w:val="0"/>
        <w:numPr>
          <w:ilvl w:val="0"/>
          <w:numId w:val="12"/>
        </w:numPr>
        <w:suppressAutoHyphens w:val="0"/>
        <w:spacing w:line="240" w:lineRule="auto"/>
        <w:ind w:left="426" w:right="50"/>
        <w:jc w:val="both"/>
        <w:rPr>
          <w:rFonts w:ascii="Arial" w:hAnsi="Arial" w:cs="Arial"/>
        </w:rPr>
      </w:pPr>
      <w:r w:rsidRPr="003234C5">
        <w:rPr>
          <w:rFonts w:ascii="Arial" w:hAnsi="Arial" w:cs="Arial"/>
        </w:rPr>
        <w:t>DEMONSTRAÇÃO DO VALOR ADICIONADO</w:t>
      </w:r>
    </w:p>
    <w:p w14:paraId="79851FB5" w14:textId="744F5786" w:rsidR="00200682" w:rsidRPr="003234C5" w:rsidRDefault="00200682" w:rsidP="00200682">
      <w:pPr>
        <w:autoSpaceDE w:val="0"/>
        <w:autoSpaceDN w:val="0"/>
        <w:adjustRightInd w:val="0"/>
        <w:jc w:val="both"/>
        <w:rPr>
          <w:rFonts w:ascii="Arial" w:hAnsi="Arial" w:cs="Arial"/>
        </w:rPr>
      </w:pPr>
      <w:r w:rsidRPr="003234C5">
        <w:rPr>
          <w:rFonts w:ascii="Arial" w:hAnsi="Arial" w:cs="Arial"/>
        </w:rPr>
        <w:t xml:space="preserve">A </w:t>
      </w:r>
      <w:r w:rsidR="00C2192B" w:rsidRPr="003234C5">
        <w:rPr>
          <w:rFonts w:ascii="Arial" w:hAnsi="Arial" w:cs="Arial"/>
        </w:rPr>
        <w:t>C</w:t>
      </w:r>
      <w:r w:rsidRPr="003234C5">
        <w:rPr>
          <w:rFonts w:ascii="Arial" w:hAnsi="Arial" w:cs="Arial"/>
        </w:rPr>
        <w:t xml:space="preserve">ompanhia elaborou a </w:t>
      </w:r>
      <w:r w:rsidR="001F2961" w:rsidRPr="003234C5">
        <w:rPr>
          <w:rFonts w:ascii="Arial" w:hAnsi="Arial" w:cs="Arial"/>
        </w:rPr>
        <w:t>D</w:t>
      </w:r>
      <w:r w:rsidRPr="003234C5">
        <w:rPr>
          <w:rFonts w:ascii="Arial" w:hAnsi="Arial" w:cs="Arial"/>
        </w:rPr>
        <w:t xml:space="preserve">emonstração do </w:t>
      </w:r>
      <w:r w:rsidR="001F2961" w:rsidRPr="003234C5">
        <w:rPr>
          <w:rFonts w:ascii="Arial" w:hAnsi="Arial" w:cs="Arial"/>
        </w:rPr>
        <w:t>V</w:t>
      </w:r>
      <w:r w:rsidRPr="003234C5">
        <w:rPr>
          <w:rFonts w:ascii="Arial" w:hAnsi="Arial" w:cs="Arial"/>
        </w:rPr>
        <w:t xml:space="preserve">alor </w:t>
      </w:r>
      <w:r w:rsidR="001F2961" w:rsidRPr="003234C5">
        <w:rPr>
          <w:rFonts w:ascii="Arial" w:hAnsi="Arial" w:cs="Arial"/>
        </w:rPr>
        <w:t>A</w:t>
      </w:r>
      <w:r w:rsidRPr="003234C5">
        <w:rPr>
          <w:rFonts w:ascii="Arial" w:hAnsi="Arial" w:cs="Arial"/>
        </w:rPr>
        <w:t xml:space="preserve">dicionado (DVA) nos termos da NBC TG 09, a qual é apresentada como informação financeira adicional e tem por finalidade evidenciar as riquezas </w:t>
      </w:r>
      <w:r w:rsidR="00A61A40" w:rsidRPr="003234C5">
        <w:rPr>
          <w:rFonts w:ascii="Arial" w:hAnsi="Arial" w:cs="Arial"/>
        </w:rPr>
        <w:t xml:space="preserve">geradas </w:t>
      </w:r>
      <w:r w:rsidRPr="003234C5">
        <w:rPr>
          <w:rFonts w:ascii="Arial" w:hAnsi="Arial" w:cs="Arial"/>
        </w:rPr>
        <w:t>pela entidade e a forma como tais riquezas foram distribuídas em determinado período.</w:t>
      </w:r>
    </w:p>
    <w:p w14:paraId="29B8CAFD" w14:textId="20F44524" w:rsidR="0075218C" w:rsidRPr="003234C5" w:rsidRDefault="0075218C" w:rsidP="0075218C">
      <w:pPr>
        <w:widowControl w:val="0"/>
        <w:numPr>
          <w:ilvl w:val="0"/>
          <w:numId w:val="12"/>
        </w:numPr>
        <w:suppressAutoHyphens w:val="0"/>
        <w:spacing w:line="240" w:lineRule="auto"/>
        <w:ind w:left="426" w:right="50" w:hanging="426"/>
        <w:jc w:val="both"/>
        <w:rPr>
          <w:rFonts w:ascii="Arial" w:hAnsi="Arial" w:cs="Arial"/>
        </w:rPr>
      </w:pPr>
      <w:r w:rsidRPr="003234C5">
        <w:rPr>
          <w:rFonts w:ascii="Arial" w:hAnsi="Arial" w:cs="Arial"/>
        </w:rPr>
        <w:t>PROVISÕES, PASSIVOS CONTINGENTES E ATIVOS CONTINGENTES</w:t>
      </w:r>
    </w:p>
    <w:p w14:paraId="60593323" w14:textId="22DDAA1D" w:rsidR="00E021A5" w:rsidRPr="003234C5" w:rsidRDefault="00200682" w:rsidP="00014E98">
      <w:pPr>
        <w:autoSpaceDE w:val="0"/>
        <w:autoSpaceDN w:val="0"/>
        <w:adjustRightInd w:val="0"/>
        <w:jc w:val="both"/>
        <w:rPr>
          <w:rFonts w:ascii="Arial" w:hAnsi="Arial" w:cs="Arial"/>
        </w:rPr>
      </w:pPr>
      <w:r w:rsidRPr="003234C5">
        <w:rPr>
          <w:rFonts w:ascii="Arial" w:hAnsi="Arial" w:cs="Arial"/>
        </w:rPr>
        <w:t>Foi observada a NBC TG 25 (</w:t>
      </w:r>
      <w:r w:rsidR="00A61A40" w:rsidRPr="003234C5">
        <w:rPr>
          <w:rFonts w:ascii="Arial" w:hAnsi="Arial" w:cs="Arial"/>
        </w:rPr>
        <w:t>R2</w:t>
      </w:r>
      <w:r w:rsidRPr="003234C5">
        <w:rPr>
          <w:rFonts w:ascii="Arial" w:hAnsi="Arial" w:cs="Arial"/>
        </w:rPr>
        <w:t xml:space="preserve">), a qual reconhece uma provisão em função de um evento passado que gera uma obrigação possível, estimada de maneira confiável e cuja existência será confirmada apenas pela ocorrência, ou não, de um ou mais eventos futuros incertos não totalmente sob controle da entidade, sendo provável que um recurso econômico venha a ser exigido para liquidá-la. </w:t>
      </w:r>
    </w:p>
    <w:p w14:paraId="2E39D928" w14:textId="132BEFDE" w:rsidR="00E021A5" w:rsidRPr="003234C5" w:rsidRDefault="00E021A5" w:rsidP="00014E98">
      <w:pPr>
        <w:autoSpaceDE w:val="0"/>
        <w:autoSpaceDN w:val="0"/>
        <w:adjustRightInd w:val="0"/>
        <w:jc w:val="both"/>
        <w:rPr>
          <w:rFonts w:ascii="Arial" w:hAnsi="Arial" w:cs="Arial"/>
        </w:rPr>
      </w:pPr>
      <w:r w:rsidRPr="003234C5">
        <w:rPr>
          <w:rFonts w:ascii="Arial" w:hAnsi="Arial" w:cs="Arial"/>
        </w:rPr>
        <w:t>As provisões para passivos contingentes são constituídas com base em pareceres jurídicos que classificam as contingências com perspectiva de perda provável, assim como os depósitos relativos às contingências. Se classificadas como de perda possível, são evidenciadas em nota explicativa. Quando a possibilidade de perda é remota, não há tratamento nas Demonstrações Contábeis.</w:t>
      </w:r>
    </w:p>
    <w:p w14:paraId="6FC6AB38" w14:textId="7370DFA0" w:rsidR="0075218C" w:rsidRPr="003234C5" w:rsidRDefault="0075218C" w:rsidP="007B4F60">
      <w:pPr>
        <w:widowControl w:val="0"/>
        <w:numPr>
          <w:ilvl w:val="0"/>
          <w:numId w:val="12"/>
        </w:numPr>
        <w:suppressAutoHyphens w:val="0"/>
        <w:spacing w:line="240" w:lineRule="auto"/>
        <w:ind w:left="426" w:right="51" w:hanging="426"/>
        <w:jc w:val="both"/>
        <w:rPr>
          <w:rFonts w:ascii="Arial" w:hAnsi="Arial" w:cs="Arial"/>
        </w:rPr>
      </w:pPr>
      <w:r w:rsidRPr="003234C5">
        <w:rPr>
          <w:rFonts w:ascii="Arial" w:hAnsi="Arial" w:cs="Arial"/>
        </w:rPr>
        <w:lastRenderedPageBreak/>
        <w:t>AJUSTE A VALOR PRESENTE (AVP)</w:t>
      </w:r>
    </w:p>
    <w:p w14:paraId="4845438B" w14:textId="0F6EE84E" w:rsidR="00D4477E" w:rsidRPr="00D4477E" w:rsidRDefault="0075218C" w:rsidP="00D4477E">
      <w:pPr>
        <w:ind w:right="51"/>
        <w:jc w:val="both"/>
        <w:rPr>
          <w:rFonts w:ascii="Arial" w:hAnsi="Arial" w:cs="Arial"/>
        </w:rPr>
      </w:pPr>
      <w:r w:rsidRPr="003234C5">
        <w:rPr>
          <w:rFonts w:ascii="Arial" w:hAnsi="Arial" w:cs="Arial"/>
        </w:rPr>
        <w:t>Para o Ajuste a Valor Presente, foi aplicada a NBC TG 12, que estabelece os requisitos básicos a serem observados quando da aplicação do ajuste a valor presente na mensuração de ativos e passivos, decorrentes de operações de longo prazo e operações relevantes de curto prazo, no momento inicial em que tais ativos e passivos são reconhecidos, bem como nos balanços subsequentes.</w:t>
      </w:r>
    </w:p>
    <w:p w14:paraId="51E05E7C" w14:textId="06903C61" w:rsidR="00CC350F" w:rsidRPr="003234C5" w:rsidRDefault="00CC350F" w:rsidP="0075218C">
      <w:pPr>
        <w:widowControl w:val="0"/>
        <w:numPr>
          <w:ilvl w:val="0"/>
          <w:numId w:val="12"/>
        </w:numPr>
        <w:suppressAutoHyphens w:val="0"/>
        <w:spacing w:line="240" w:lineRule="auto"/>
        <w:ind w:left="426" w:right="51" w:hanging="426"/>
        <w:jc w:val="both"/>
        <w:rPr>
          <w:rFonts w:ascii="Arial" w:hAnsi="Arial" w:cs="Arial"/>
        </w:rPr>
      </w:pPr>
      <w:r w:rsidRPr="003234C5">
        <w:rPr>
          <w:rFonts w:ascii="Arial" w:hAnsi="Arial" w:cs="Arial"/>
        </w:rPr>
        <w:t>RECEITAS</w:t>
      </w:r>
    </w:p>
    <w:p w14:paraId="53DEA151" w14:textId="2CD3ECE2" w:rsidR="0075218C" w:rsidRPr="003234C5" w:rsidRDefault="00DA1006" w:rsidP="0075218C">
      <w:pPr>
        <w:autoSpaceDE w:val="0"/>
        <w:autoSpaceDN w:val="0"/>
        <w:adjustRightInd w:val="0"/>
        <w:jc w:val="both"/>
        <w:rPr>
          <w:rFonts w:ascii="Arial" w:hAnsi="Arial" w:cs="Arial"/>
          <w:bCs/>
        </w:rPr>
      </w:pPr>
      <w:r w:rsidRPr="003234C5">
        <w:rPr>
          <w:rFonts w:ascii="Arial" w:hAnsi="Arial" w:cs="Arial"/>
        </w:rPr>
        <w:t>Para a Receita, foi aplicada a NBC TG 47 que</w:t>
      </w:r>
      <w:r w:rsidR="0075218C" w:rsidRPr="003234C5">
        <w:rPr>
          <w:rFonts w:ascii="Arial" w:hAnsi="Arial" w:cs="Arial"/>
          <w:bCs/>
        </w:rPr>
        <w:t xml:space="preserve"> estabelece um modelo para as empresas utilizarem na contabilização de receitas provenientes de contratos com clientes. Este pronunciamento substitui as orientações anteriores de reconhecimento da receita presente no NBC TG 30 (R1) (IAS 18) - Receitas, NBC TG 17 (R1) (IAS 11) – Contratos de Construção e as interpretações relacionadas, quando se tornou efetiva a partir de 01/01/2018</w:t>
      </w:r>
      <w:r w:rsidRPr="003234C5">
        <w:rPr>
          <w:rFonts w:ascii="Arial" w:hAnsi="Arial" w:cs="Arial"/>
          <w:bCs/>
        </w:rPr>
        <w:t>.</w:t>
      </w:r>
    </w:p>
    <w:p w14:paraId="1EDF8714" w14:textId="37D4EAF9" w:rsidR="0075218C" w:rsidRPr="003234C5" w:rsidRDefault="0075218C" w:rsidP="0075218C">
      <w:pPr>
        <w:autoSpaceDE w:val="0"/>
        <w:autoSpaceDN w:val="0"/>
        <w:adjustRightInd w:val="0"/>
        <w:jc w:val="both"/>
        <w:rPr>
          <w:rFonts w:ascii="Arial" w:hAnsi="Arial" w:cs="Arial"/>
          <w:bCs/>
        </w:rPr>
      </w:pPr>
      <w:r w:rsidRPr="003234C5">
        <w:rPr>
          <w:rFonts w:ascii="Arial" w:hAnsi="Arial" w:cs="Arial"/>
          <w:bCs/>
        </w:rPr>
        <w:t>O princípio fundamental d</w:t>
      </w:r>
      <w:r w:rsidR="00523BE8" w:rsidRPr="003234C5">
        <w:rPr>
          <w:rFonts w:ascii="Arial" w:hAnsi="Arial" w:cs="Arial"/>
          <w:bCs/>
        </w:rPr>
        <w:t>a</w:t>
      </w:r>
      <w:r w:rsidRPr="003234C5">
        <w:rPr>
          <w:rFonts w:ascii="Arial" w:hAnsi="Arial" w:cs="Arial"/>
          <w:bCs/>
        </w:rPr>
        <w:t xml:space="preserve"> </w:t>
      </w:r>
      <w:r w:rsidR="008E2E78" w:rsidRPr="003234C5">
        <w:rPr>
          <w:rFonts w:ascii="Arial" w:hAnsi="Arial" w:cs="Arial"/>
          <w:bCs/>
        </w:rPr>
        <w:t>NBC TG</w:t>
      </w:r>
      <w:r w:rsidRPr="003234C5">
        <w:rPr>
          <w:rFonts w:ascii="Arial" w:hAnsi="Arial" w:cs="Arial"/>
          <w:bCs/>
        </w:rPr>
        <w:t xml:space="preserve"> 47 (IFRS 15) consiste em a entidade reconhecer receitas para descrever a transferência de bens ou serviços prometidos a clientes no valor que reflita a contraprestação à qual a entidade espera ter direito em troca desses bens e serviços. Especificamente, a norma introduz um modelo de 5 passos para o reconhecimento da receita: </w:t>
      </w:r>
    </w:p>
    <w:p w14:paraId="004DDE44" w14:textId="77777777" w:rsidR="0075218C" w:rsidRPr="003234C5" w:rsidRDefault="0075218C" w:rsidP="0075218C">
      <w:pPr>
        <w:suppressAutoHyphens w:val="0"/>
        <w:autoSpaceDE w:val="0"/>
        <w:autoSpaceDN w:val="0"/>
        <w:adjustRightInd w:val="0"/>
        <w:spacing w:after="0" w:line="240" w:lineRule="auto"/>
        <w:ind w:left="567"/>
        <w:jc w:val="both"/>
        <w:rPr>
          <w:rFonts w:ascii="Arial" w:hAnsi="Arial" w:cs="Arial"/>
          <w:bCs/>
        </w:rPr>
      </w:pPr>
      <w:r w:rsidRPr="003234C5">
        <w:rPr>
          <w:rFonts w:ascii="Arial" w:hAnsi="Arial" w:cs="Arial"/>
          <w:bCs/>
        </w:rPr>
        <w:t>•</w:t>
      </w:r>
      <w:r w:rsidRPr="003234C5">
        <w:rPr>
          <w:rFonts w:ascii="Arial" w:hAnsi="Arial" w:cs="Arial"/>
          <w:bCs/>
        </w:rPr>
        <w:tab/>
        <w:t>Passo 1: Identificar o(s) contrato(s) com o cliente;</w:t>
      </w:r>
    </w:p>
    <w:p w14:paraId="46547B91" w14:textId="77777777" w:rsidR="0075218C" w:rsidRPr="003234C5" w:rsidRDefault="0075218C" w:rsidP="0075218C">
      <w:pPr>
        <w:suppressAutoHyphens w:val="0"/>
        <w:autoSpaceDE w:val="0"/>
        <w:autoSpaceDN w:val="0"/>
        <w:adjustRightInd w:val="0"/>
        <w:spacing w:after="0" w:line="240" w:lineRule="auto"/>
        <w:ind w:left="567"/>
        <w:jc w:val="both"/>
        <w:rPr>
          <w:rFonts w:ascii="Arial" w:hAnsi="Arial" w:cs="Arial"/>
          <w:bCs/>
        </w:rPr>
      </w:pPr>
      <w:r w:rsidRPr="003234C5">
        <w:rPr>
          <w:rFonts w:ascii="Arial" w:hAnsi="Arial" w:cs="Arial"/>
          <w:bCs/>
        </w:rPr>
        <w:t>•</w:t>
      </w:r>
      <w:r w:rsidRPr="003234C5">
        <w:rPr>
          <w:rFonts w:ascii="Arial" w:hAnsi="Arial" w:cs="Arial"/>
          <w:bCs/>
        </w:rPr>
        <w:tab/>
        <w:t>Passo 2: Identificar as obrigações de desempenho definidas no contrato;</w:t>
      </w:r>
    </w:p>
    <w:p w14:paraId="3215519B" w14:textId="77777777" w:rsidR="0075218C" w:rsidRPr="003234C5" w:rsidRDefault="0075218C" w:rsidP="0075218C">
      <w:pPr>
        <w:suppressAutoHyphens w:val="0"/>
        <w:autoSpaceDE w:val="0"/>
        <w:autoSpaceDN w:val="0"/>
        <w:adjustRightInd w:val="0"/>
        <w:spacing w:after="0" w:line="240" w:lineRule="auto"/>
        <w:ind w:left="567"/>
        <w:jc w:val="both"/>
        <w:rPr>
          <w:rFonts w:ascii="Arial" w:hAnsi="Arial" w:cs="Arial"/>
          <w:bCs/>
        </w:rPr>
      </w:pPr>
      <w:r w:rsidRPr="003234C5">
        <w:rPr>
          <w:rFonts w:ascii="Arial" w:hAnsi="Arial" w:cs="Arial"/>
          <w:bCs/>
        </w:rPr>
        <w:t>•</w:t>
      </w:r>
      <w:r w:rsidRPr="003234C5">
        <w:rPr>
          <w:rFonts w:ascii="Arial" w:hAnsi="Arial" w:cs="Arial"/>
          <w:bCs/>
        </w:rPr>
        <w:tab/>
        <w:t>Passo 3: Determinar o preço da transação;</w:t>
      </w:r>
    </w:p>
    <w:p w14:paraId="76E866B2" w14:textId="77777777" w:rsidR="0075218C" w:rsidRPr="003234C5" w:rsidRDefault="0075218C" w:rsidP="0075218C">
      <w:pPr>
        <w:suppressAutoHyphens w:val="0"/>
        <w:autoSpaceDE w:val="0"/>
        <w:autoSpaceDN w:val="0"/>
        <w:adjustRightInd w:val="0"/>
        <w:spacing w:after="0" w:line="240" w:lineRule="auto"/>
        <w:ind w:left="567"/>
        <w:jc w:val="both"/>
        <w:rPr>
          <w:rFonts w:ascii="Arial" w:hAnsi="Arial" w:cs="Arial"/>
          <w:bCs/>
        </w:rPr>
      </w:pPr>
      <w:r w:rsidRPr="003234C5">
        <w:rPr>
          <w:rFonts w:ascii="Arial" w:hAnsi="Arial" w:cs="Arial"/>
          <w:bCs/>
        </w:rPr>
        <w:t>•</w:t>
      </w:r>
      <w:r w:rsidRPr="003234C5">
        <w:rPr>
          <w:rFonts w:ascii="Arial" w:hAnsi="Arial" w:cs="Arial"/>
          <w:bCs/>
        </w:rPr>
        <w:tab/>
        <w:t>Passo 4: Alocar o preço da transação às obrigações de desempenho previstas no contrato;</w:t>
      </w:r>
    </w:p>
    <w:p w14:paraId="4CB8AE21" w14:textId="77777777" w:rsidR="0075218C" w:rsidRPr="003234C5" w:rsidRDefault="0075218C" w:rsidP="0075218C">
      <w:pPr>
        <w:suppressAutoHyphens w:val="0"/>
        <w:autoSpaceDE w:val="0"/>
        <w:autoSpaceDN w:val="0"/>
        <w:adjustRightInd w:val="0"/>
        <w:spacing w:after="0" w:line="240" w:lineRule="auto"/>
        <w:ind w:left="567"/>
        <w:jc w:val="both"/>
        <w:rPr>
          <w:rFonts w:ascii="Arial" w:hAnsi="Arial" w:cs="Arial"/>
          <w:bCs/>
        </w:rPr>
      </w:pPr>
      <w:r w:rsidRPr="003234C5">
        <w:rPr>
          <w:rFonts w:ascii="Arial" w:hAnsi="Arial" w:cs="Arial"/>
          <w:bCs/>
        </w:rPr>
        <w:t>•</w:t>
      </w:r>
      <w:r w:rsidRPr="003234C5">
        <w:rPr>
          <w:rFonts w:ascii="Arial" w:hAnsi="Arial" w:cs="Arial"/>
          <w:bCs/>
        </w:rPr>
        <w:tab/>
        <w:t xml:space="preserve">Passo 5: Reconhecer a receita quando (ou conforme) a entidade atende cada obrigação de desempenho. </w:t>
      </w:r>
    </w:p>
    <w:p w14:paraId="7481EBF9" w14:textId="77777777" w:rsidR="00216C47" w:rsidRPr="003234C5" w:rsidRDefault="00216C47" w:rsidP="0075218C">
      <w:pPr>
        <w:autoSpaceDE w:val="0"/>
        <w:autoSpaceDN w:val="0"/>
        <w:adjustRightInd w:val="0"/>
        <w:jc w:val="both"/>
        <w:rPr>
          <w:rFonts w:ascii="Arial" w:hAnsi="Arial" w:cs="Arial"/>
          <w:bCs/>
        </w:rPr>
      </w:pPr>
    </w:p>
    <w:p w14:paraId="7BB7B9A2" w14:textId="6ACDCEC3" w:rsidR="0075218C" w:rsidRPr="003234C5" w:rsidRDefault="0075218C" w:rsidP="0075218C">
      <w:pPr>
        <w:autoSpaceDE w:val="0"/>
        <w:autoSpaceDN w:val="0"/>
        <w:adjustRightInd w:val="0"/>
        <w:jc w:val="both"/>
        <w:rPr>
          <w:rFonts w:ascii="Arial" w:hAnsi="Arial" w:cs="Arial"/>
          <w:bCs/>
        </w:rPr>
      </w:pPr>
      <w:r w:rsidRPr="003234C5">
        <w:rPr>
          <w:rFonts w:ascii="Arial" w:hAnsi="Arial" w:cs="Arial"/>
          <w:bCs/>
        </w:rPr>
        <w:t>De acordo com este Pronunciamento, a entidade reconhece a receita quando (ou se) a obrigação de performar for cumprida, ou seja, quando o “controle” dos bens ou serviços de uma determinada operação são transferidos ao cliente.</w:t>
      </w:r>
    </w:p>
    <w:p w14:paraId="5259795B" w14:textId="77777777" w:rsidR="0075218C" w:rsidRPr="003234C5" w:rsidRDefault="0075218C" w:rsidP="0075218C">
      <w:pPr>
        <w:suppressAutoHyphens w:val="0"/>
        <w:autoSpaceDE w:val="0"/>
        <w:autoSpaceDN w:val="0"/>
        <w:adjustRightInd w:val="0"/>
        <w:spacing w:after="0" w:line="240" w:lineRule="auto"/>
        <w:jc w:val="both"/>
        <w:rPr>
          <w:rFonts w:ascii="Arial" w:hAnsi="Arial" w:cs="Arial"/>
          <w:bCs/>
        </w:rPr>
      </w:pPr>
      <w:r w:rsidRPr="003234C5">
        <w:rPr>
          <w:rFonts w:ascii="Arial" w:hAnsi="Arial" w:cs="Arial"/>
          <w:bCs/>
        </w:rPr>
        <w:t xml:space="preserve">Neste sentido, a CEGÁS reconhece receitas oriundas principalmente das seguintes fontes: </w:t>
      </w:r>
    </w:p>
    <w:p w14:paraId="4D917B7D" w14:textId="77777777" w:rsidR="0075218C" w:rsidRPr="003234C5" w:rsidRDefault="0075218C" w:rsidP="0075218C">
      <w:pPr>
        <w:suppressAutoHyphens w:val="0"/>
        <w:autoSpaceDE w:val="0"/>
        <w:autoSpaceDN w:val="0"/>
        <w:adjustRightInd w:val="0"/>
        <w:spacing w:after="0" w:line="240" w:lineRule="auto"/>
        <w:jc w:val="both"/>
        <w:rPr>
          <w:rFonts w:ascii="Arial" w:hAnsi="Arial" w:cs="Arial"/>
          <w:bCs/>
        </w:rPr>
      </w:pPr>
    </w:p>
    <w:p w14:paraId="613B45AC" w14:textId="77777777" w:rsidR="0075218C" w:rsidRPr="003234C5" w:rsidRDefault="0075218C" w:rsidP="0075218C">
      <w:pPr>
        <w:suppressAutoHyphens w:val="0"/>
        <w:autoSpaceDE w:val="0"/>
        <w:autoSpaceDN w:val="0"/>
        <w:adjustRightInd w:val="0"/>
        <w:spacing w:after="0" w:line="240" w:lineRule="auto"/>
        <w:ind w:firstLine="567"/>
        <w:jc w:val="both"/>
        <w:rPr>
          <w:rFonts w:ascii="Arial" w:hAnsi="Arial" w:cs="Arial"/>
          <w:bCs/>
        </w:rPr>
      </w:pPr>
      <w:r w:rsidRPr="003234C5">
        <w:rPr>
          <w:rFonts w:ascii="Arial" w:hAnsi="Arial" w:cs="Arial"/>
          <w:bCs/>
        </w:rPr>
        <w:t>•</w:t>
      </w:r>
      <w:r w:rsidRPr="003234C5">
        <w:rPr>
          <w:rFonts w:ascii="Arial" w:hAnsi="Arial" w:cs="Arial"/>
          <w:bCs/>
        </w:rPr>
        <w:tab/>
        <w:t>Venda de gás canalizado;</w:t>
      </w:r>
    </w:p>
    <w:p w14:paraId="39ECBA77" w14:textId="77777777" w:rsidR="0075218C" w:rsidRPr="003234C5" w:rsidRDefault="0075218C" w:rsidP="0075218C">
      <w:pPr>
        <w:suppressAutoHyphens w:val="0"/>
        <w:autoSpaceDE w:val="0"/>
        <w:autoSpaceDN w:val="0"/>
        <w:adjustRightInd w:val="0"/>
        <w:spacing w:after="0" w:line="240" w:lineRule="auto"/>
        <w:ind w:firstLine="567"/>
        <w:jc w:val="both"/>
        <w:rPr>
          <w:rFonts w:ascii="Arial" w:hAnsi="Arial" w:cs="Arial"/>
          <w:bCs/>
        </w:rPr>
      </w:pPr>
      <w:r w:rsidRPr="003234C5">
        <w:rPr>
          <w:rFonts w:ascii="Arial" w:hAnsi="Arial" w:cs="Arial"/>
          <w:bCs/>
        </w:rPr>
        <w:t>•</w:t>
      </w:r>
      <w:r w:rsidRPr="003234C5">
        <w:rPr>
          <w:rFonts w:ascii="Arial" w:hAnsi="Arial" w:cs="Arial"/>
          <w:bCs/>
        </w:rPr>
        <w:tab/>
        <w:t>Prestação de serviços de movimentação de gás de autoprodutor.</w:t>
      </w:r>
    </w:p>
    <w:p w14:paraId="49BA3F0C" w14:textId="77777777" w:rsidR="0075218C" w:rsidRPr="003234C5" w:rsidRDefault="0075218C" w:rsidP="0075218C">
      <w:pPr>
        <w:suppressAutoHyphens w:val="0"/>
        <w:autoSpaceDE w:val="0"/>
        <w:autoSpaceDN w:val="0"/>
        <w:adjustRightInd w:val="0"/>
        <w:spacing w:after="0" w:line="240" w:lineRule="auto"/>
        <w:jc w:val="both"/>
        <w:rPr>
          <w:rFonts w:ascii="Arial" w:hAnsi="Arial" w:cs="Arial"/>
          <w:bCs/>
        </w:rPr>
      </w:pPr>
    </w:p>
    <w:p w14:paraId="7AC4864F" w14:textId="2CD2A78B" w:rsidR="0075218C" w:rsidRPr="003234C5" w:rsidRDefault="00C2192B" w:rsidP="00014E98">
      <w:pPr>
        <w:autoSpaceDE w:val="0"/>
        <w:autoSpaceDN w:val="0"/>
        <w:adjustRightInd w:val="0"/>
        <w:jc w:val="both"/>
        <w:rPr>
          <w:rFonts w:ascii="Arial" w:hAnsi="Arial" w:cs="Arial"/>
        </w:rPr>
      </w:pPr>
      <w:r w:rsidRPr="003234C5">
        <w:rPr>
          <w:rFonts w:ascii="Arial" w:hAnsi="Arial" w:cs="Arial"/>
          <w:bCs/>
        </w:rPr>
        <w:t xml:space="preserve">A Companhia avaliou </w:t>
      </w:r>
      <w:r w:rsidR="0075218C" w:rsidRPr="003234C5">
        <w:rPr>
          <w:rFonts w:ascii="Arial" w:hAnsi="Arial" w:cs="Arial"/>
          <w:bCs/>
        </w:rPr>
        <w:t xml:space="preserve">as principais fontes de receita da entidade, conforme discriminado acima, e entende que </w:t>
      </w:r>
      <w:r w:rsidR="000F61E9">
        <w:rPr>
          <w:rFonts w:ascii="Arial" w:hAnsi="Arial" w:cs="Arial"/>
          <w:bCs/>
        </w:rPr>
        <w:t>elas</w:t>
      </w:r>
      <w:r w:rsidR="0075218C" w:rsidRPr="003234C5">
        <w:rPr>
          <w:rFonts w:ascii="Arial" w:hAnsi="Arial" w:cs="Arial"/>
          <w:bCs/>
        </w:rPr>
        <w:t xml:space="preserve"> representam obrigações de desempenho distintas, </w:t>
      </w:r>
      <w:r w:rsidR="00E1446A">
        <w:rPr>
          <w:rFonts w:ascii="Arial" w:hAnsi="Arial" w:cs="Arial"/>
          <w:bCs/>
        </w:rPr>
        <w:t>a</w:t>
      </w:r>
      <w:r w:rsidR="0075218C" w:rsidRPr="003234C5">
        <w:rPr>
          <w:rFonts w:ascii="Arial" w:hAnsi="Arial" w:cs="Arial"/>
          <w:bCs/>
        </w:rPr>
        <w:t>s quais deverão ser reconhecidas no determinado momento em que a entrega do gás e/ou o serviço é realizado</w:t>
      </w:r>
      <w:r w:rsidR="002C1D58">
        <w:rPr>
          <w:rFonts w:ascii="Arial" w:hAnsi="Arial" w:cs="Arial"/>
          <w:bCs/>
        </w:rPr>
        <w:t xml:space="preserve"> e não identificou impacto na adoção inicial em 01 de janeiro de 2018.</w:t>
      </w:r>
    </w:p>
    <w:p w14:paraId="47564FEE" w14:textId="29A3A5B8" w:rsidR="00CC350F" w:rsidRPr="003234C5" w:rsidRDefault="00CC350F" w:rsidP="00CC350F">
      <w:pPr>
        <w:widowControl w:val="0"/>
        <w:numPr>
          <w:ilvl w:val="0"/>
          <w:numId w:val="12"/>
        </w:numPr>
        <w:suppressAutoHyphens w:val="0"/>
        <w:spacing w:line="240" w:lineRule="auto"/>
        <w:ind w:left="426" w:right="51" w:hanging="426"/>
        <w:jc w:val="both"/>
        <w:rPr>
          <w:rFonts w:ascii="Arial" w:hAnsi="Arial" w:cs="Arial"/>
        </w:rPr>
      </w:pPr>
      <w:r w:rsidRPr="003234C5">
        <w:rPr>
          <w:rFonts w:ascii="Arial" w:hAnsi="Arial" w:cs="Arial"/>
        </w:rPr>
        <w:t>ATIVOS E PASSIVOS FINANCEIROS NÃO DERIVATIVOS – RECONHECIMENTO E DESRECONHECIMENTO</w:t>
      </w:r>
    </w:p>
    <w:p w14:paraId="3803A300" w14:textId="77777777" w:rsidR="00CC350F" w:rsidRPr="003234C5" w:rsidRDefault="00CC350F" w:rsidP="00CC350F">
      <w:pPr>
        <w:jc w:val="both"/>
        <w:rPr>
          <w:rFonts w:ascii="Arial" w:hAnsi="Arial" w:cs="Arial"/>
        </w:rPr>
      </w:pPr>
      <w:r w:rsidRPr="003234C5">
        <w:rPr>
          <w:rFonts w:ascii="Arial" w:hAnsi="Arial" w:cs="Arial"/>
        </w:rPr>
        <w:t>A Companhia reconhece um ativo e um passivo financeiro inicialmente na data em que foram originados. Todos os outros ativos e passivos financeiros são reconhecidos na data da negociação quando a entidade se tornar parte das disposições contratuais do instrumento.</w:t>
      </w:r>
    </w:p>
    <w:p w14:paraId="1DB8BFDC" w14:textId="7AD4CCED" w:rsidR="00CC350F" w:rsidRPr="003234C5" w:rsidRDefault="00CC350F" w:rsidP="00CC350F">
      <w:pPr>
        <w:jc w:val="both"/>
        <w:rPr>
          <w:rFonts w:ascii="Arial" w:hAnsi="Arial" w:cs="Arial"/>
        </w:rPr>
      </w:pPr>
      <w:r w:rsidRPr="003234C5">
        <w:rPr>
          <w:rFonts w:ascii="Arial" w:hAnsi="Arial" w:cs="Arial"/>
        </w:rPr>
        <w:t>A Companhia classifica ativos financeiros não derivativos nas seguintes categorias: ativos financeiros mensurados pelo valor justo por meio do resultado.</w:t>
      </w:r>
      <w:r w:rsidR="008B5CDD" w:rsidRPr="003234C5">
        <w:rPr>
          <w:rFonts w:ascii="Arial" w:hAnsi="Arial" w:cs="Arial"/>
        </w:rPr>
        <w:t xml:space="preserve"> </w:t>
      </w:r>
      <w:r w:rsidRPr="003234C5">
        <w:rPr>
          <w:rFonts w:ascii="Arial" w:hAnsi="Arial" w:cs="Arial"/>
        </w:rPr>
        <w:t xml:space="preserve">A Companhia classifica </w:t>
      </w:r>
      <w:r w:rsidRPr="003234C5">
        <w:rPr>
          <w:rFonts w:ascii="Arial" w:hAnsi="Arial" w:cs="Arial"/>
        </w:rPr>
        <w:lastRenderedPageBreak/>
        <w:t>passivos financeiros não derivativos nas seguintes categorias: passivos financeiros mensurados pelo valor justo por meio do resultado e outros passivos financeiros.</w:t>
      </w:r>
    </w:p>
    <w:p w14:paraId="7E5FAE23" w14:textId="43A6D54F" w:rsidR="00CC350F" w:rsidRPr="003234C5" w:rsidRDefault="00CC350F" w:rsidP="00CC350F">
      <w:pPr>
        <w:jc w:val="both"/>
        <w:rPr>
          <w:rFonts w:ascii="Arial" w:hAnsi="Arial" w:cs="Arial"/>
        </w:rPr>
      </w:pPr>
      <w:r w:rsidRPr="003234C5">
        <w:rPr>
          <w:rFonts w:ascii="Arial" w:hAnsi="Arial" w:cs="Arial"/>
        </w:rPr>
        <w:t xml:space="preserve">A Companhia </w:t>
      </w:r>
      <w:proofErr w:type="spellStart"/>
      <w:r w:rsidRPr="003234C5">
        <w:rPr>
          <w:rFonts w:ascii="Arial" w:hAnsi="Arial" w:cs="Arial"/>
        </w:rPr>
        <w:t>desreconhece</w:t>
      </w:r>
      <w:proofErr w:type="spellEnd"/>
      <w:r w:rsidRPr="003234C5">
        <w:rPr>
          <w:rFonts w:ascii="Arial" w:hAnsi="Arial" w:cs="Arial"/>
        </w:rPr>
        <w:t xml:space="preserve"> um ativo financeiro quando os direitos contratuais aos fluxos de caixa do ativo expiram, ou quando a Companhia transfere os direitos ao recebimento dos fluxos de caixa contratuais sobre um ativo financeiro em uma transação na qual substancialmente todos os riscos e benefícios da titularidade do ativo financeiro são transferidos. Qualquer participação que seja criada ou retida pel</w:t>
      </w:r>
      <w:r w:rsidR="000D6AEA" w:rsidRPr="003234C5">
        <w:rPr>
          <w:rFonts w:ascii="Arial" w:hAnsi="Arial" w:cs="Arial"/>
        </w:rPr>
        <w:t>a</w:t>
      </w:r>
      <w:r w:rsidRPr="003234C5">
        <w:rPr>
          <w:rFonts w:ascii="Arial" w:hAnsi="Arial" w:cs="Arial"/>
        </w:rPr>
        <w:t xml:space="preserve"> Companhia em tais ativos financeiros transferidos, é reconhecida como um ativo ou passivo separado.</w:t>
      </w:r>
      <w:r w:rsidR="008B5CDD" w:rsidRPr="003234C5">
        <w:rPr>
          <w:rFonts w:ascii="Arial" w:hAnsi="Arial" w:cs="Arial"/>
        </w:rPr>
        <w:t xml:space="preserve"> </w:t>
      </w:r>
      <w:r w:rsidRPr="003234C5">
        <w:rPr>
          <w:rFonts w:ascii="Arial" w:hAnsi="Arial" w:cs="Arial"/>
        </w:rPr>
        <w:t xml:space="preserve">A Companhia </w:t>
      </w:r>
      <w:proofErr w:type="spellStart"/>
      <w:r w:rsidRPr="003234C5">
        <w:rPr>
          <w:rFonts w:ascii="Arial" w:hAnsi="Arial" w:cs="Arial"/>
        </w:rPr>
        <w:t>desreconhece</w:t>
      </w:r>
      <w:proofErr w:type="spellEnd"/>
      <w:r w:rsidRPr="003234C5">
        <w:rPr>
          <w:rFonts w:ascii="Arial" w:hAnsi="Arial" w:cs="Arial"/>
        </w:rPr>
        <w:t xml:space="preserve"> um passivo financeiro quando sua obrigação contratual é retirada, cancelada ou expirada.</w:t>
      </w:r>
    </w:p>
    <w:p w14:paraId="37A86EC6" w14:textId="77777777" w:rsidR="00CC350F" w:rsidRPr="003234C5" w:rsidRDefault="00CC350F" w:rsidP="00CC350F">
      <w:pPr>
        <w:jc w:val="both"/>
        <w:rPr>
          <w:rFonts w:ascii="Arial" w:hAnsi="Arial" w:cs="Arial"/>
        </w:rPr>
      </w:pPr>
      <w:r w:rsidRPr="003234C5">
        <w:rPr>
          <w:rFonts w:ascii="Arial" w:hAnsi="Arial" w:cs="Arial"/>
        </w:rPr>
        <w:t>Os ativos ou passivos financeiros são compensados e o valor líquido apresentado no balanço patrimonial quando, e somente quando, a Companhia tenha atualmente um direito legalmente executável de compensar os valores e tenha a intenção de liquidá-los em uma base líquida ou de realizar o ativo e liquidar o passivo simultaneamente.</w:t>
      </w:r>
    </w:p>
    <w:p w14:paraId="48AC0796" w14:textId="29C8F98C" w:rsidR="004F53C1" w:rsidRPr="003234C5" w:rsidRDefault="00CC350F" w:rsidP="00AB0AFE">
      <w:pPr>
        <w:jc w:val="both"/>
        <w:rPr>
          <w:rFonts w:ascii="Arial" w:hAnsi="Arial" w:cs="Arial"/>
        </w:rPr>
      </w:pPr>
      <w:r w:rsidRPr="003234C5">
        <w:rPr>
          <w:rFonts w:ascii="Arial" w:hAnsi="Arial" w:cs="Arial"/>
        </w:rPr>
        <w:t>Os principais ativos financeiros reconhecidos pela Companhia são: caixa e equivalente de caixa</w:t>
      </w:r>
      <w:r w:rsidR="003B4DED" w:rsidRPr="003234C5">
        <w:rPr>
          <w:rFonts w:ascii="Arial" w:hAnsi="Arial" w:cs="Arial"/>
        </w:rPr>
        <w:t>,</w:t>
      </w:r>
      <w:r w:rsidRPr="003234C5">
        <w:rPr>
          <w:rFonts w:ascii="Arial" w:hAnsi="Arial" w:cs="Arial"/>
        </w:rPr>
        <w:t xml:space="preserve"> contas a receber</w:t>
      </w:r>
      <w:r w:rsidR="003B4DED" w:rsidRPr="003234C5">
        <w:rPr>
          <w:rFonts w:ascii="Arial" w:hAnsi="Arial" w:cs="Arial"/>
        </w:rPr>
        <w:t xml:space="preserve"> e crédito de gás.</w:t>
      </w:r>
      <w:r w:rsidR="008B5CDD" w:rsidRPr="003234C5">
        <w:rPr>
          <w:rFonts w:ascii="Arial" w:hAnsi="Arial" w:cs="Arial"/>
        </w:rPr>
        <w:t xml:space="preserve"> </w:t>
      </w:r>
      <w:r w:rsidRPr="003234C5">
        <w:rPr>
          <w:rFonts w:ascii="Arial" w:hAnsi="Arial" w:cs="Arial"/>
        </w:rPr>
        <w:t>Os principais passivos financeiros reconhecidos pela Companhia são: fornecedores e empréstimos e financiamentos.</w:t>
      </w:r>
    </w:p>
    <w:p w14:paraId="04ADD725" w14:textId="3D2287B0" w:rsidR="00200682" w:rsidRPr="003234C5" w:rsidRDefault="00200682" w:rsidP="006235C4">
      <w:pPr>
        <w:widowControl w:val="0"/>
        <w:spacing w:before="240"/>
        <w:ind w:right="51"/>
        <w:jc w:val="both"/>
        <w:rPr>
          <w:rFonts w:ascii="Arial" w:hAnsi="Arial" w:cs="Arial"/>
          <w:b/>
        </w:rPr>
      </w:pPr>
      <w:r w:rsidRPr="003234C5">
        <w:rPr>
          <w:rFonts w:ascii="Arial" w:hAnsi="Arial" w:cs="Arial"/>
          <w:b/>
        </w:rPr>
        <w:t xml:space="preserve">NOTA </w:t>
      </w:r>
      <w:r w:rsidR="0086045E" w:rsidRPr="003234C5">
        <w:rPr>
          <w:rFonts w:ascii="Arial" w:hAnsi="Arial" w:cs="Arial"/>
          <w:b/>
        </w:rPr>
        <w:t>7</w:t>
      </w:r>
      <w:r w:rsidRPr="003234C5">
        <w:rPr>
          <w:rFonts w:ascii="Arial" w:hAnsi="Arial" w:cs="Arial"/>
          <w:b/>
        </w:rPr>
        <w:t xml:space="preserve">. CAIXA E EQUIVALENTES DE CAIXA </w:t>
      </w:r>
    </w:p>
    <w:p w14:paraId="1C235B45" w14:textId="4A104086" w:rsidR="00200682" w:rsidRPr="003234C5" w:rsidRDefault="00200682" w:rsidP="00200682">
      <w:pPr>
        <w:jc w:val="both"/>
        <w:rPr>
          <w:rFonts w:ascii="Arial" w:hAnsi="Arial" w:cs="Arial"/>
        </w:rPr>
      </w:pPr>
      <w:r w:rsidRPr="003234C5">
        <w:rPr>
          <w:rFonts w:ascii="Arial" w:hAnsi="Arial" w:cs="Arial"/>
        </w:rPr>
        <w:t>As disponibilidades da Companhia não absorvidas nas atividades operacionais ou de investimentos são mantidas em aplicações financeiras de curto prazo de alta liquidez, cujos vencimentos originais são inferiores a três meses e são prontamente conversíveis em um montante conhecido de caixa e estão sujeitos a um insignificante risco de mudança de valor. As aplicações financeiras têm diversos vencimentos, podendo ser resgatadas a qualquer tempo. Os valores aplicados estão acrescidos dos rendimentos até a data do encerramento dos períodos, conforme demonstrado:</w:t>
      </w:r>
      <w:r w:rsidR="002C1D58">
        <w:rPr>
          <w:rFonts w:ascii="Arial" w:hAnsi="Arial" w:cs="Arial"/>
        </w:rPr>
        <w:t xml:space="preserve"> avaliar</w:t>
      </w:r>
    </w:p>
    <w:p w14:paraId="39362564" w14:textId="77777777" w:rsidR="00E9432B" w:rsidRPr="003234C5" w:rsidRDefault="00E9432B" w:rsidP="008B5CDD">
      <w:pPr>
        <w:spacing w:after="0" w:line="240" w:lineRule="auto"/>
        <w:jc w:val="both"/>
        <w:rPr>
          <w:rFonts w:ascii="Arial" w:hAnsi="Arial" w:cs="Arial"/>
          <w:sz w:val="24"/>
          <w:szCs w:val="24"/>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127"/>
        <w:gridCol w:w="2126"/>
        <w:gridCol w:w="1417"/>
        <w:gridCol w:w="1417"/>
      </w:tblGrid>
      <w:tr w:rsidR="00200682" w:rsidRPr="003234C5" w14:paraId="236F16C2" w14:textId="77777777" w:rsidTr="560654F9">
        <w:trPr>
          <w:trHeight w:val="20"/>
          <w:jc w:val="center"/>
        </w:trPr>
        <w:tc>
          <w:tcPr>
            <w:tcW w:w="2263" w:type="dxa"/>
            <w:shd w:val="clear" w:color="auto" w:fill="C0C0C0"/>
            <w:vAlign w:val="center"/>
          </w:tcPr>
          <w:p w14:paraId="13711BB8" w14:textId="77777777" w:rsidR="00200682" w:rsidRPr="003234C5" w:rsidRDefault="00200682" w:rsidP="00E84342">
            <w:pPr>
              <w:autoSpaceDE w:val="0"/>
              <w:autoSpaceDN w:val="0"/>
              <w:adjustRightInd w:val="0"/>
              <w:spacing w:after="0"/>
              <w:jc w:val="center"/>
              <w:rPr>
                <w:rFonts w:ascii="Arial" w:hAnsi="Arial" w:cs="Arial"/>
                <w:b/>
                <w:sz w:val="20"/>
                <w:szCs w:val="20"/>
              </w:rPr>
            </w:pPr>
            <w:bookmarkStart w:id="3" w:name="_Hlk6836872"/>
            <w:r w:rsidRPr="003234C5">
              <w:rPr>
                <w:rFonts w:ascii="Arial" w:hAnsi="Arial" w:cs="Arial"/>
                <w:b/>
                <w:sz w:val="20"/>
                <w:szCs w:val="20"/>
              </w:rPr>
              <w:t>DESCRIÇÃO</w:t>
            </w:r>
          </w:p>
        </w:tc>
        <w:tc>
          <w:tcPr>
            <w:tcW w:w="2127" w:type="dxa"/>
            <w:shd w:val="clear" w:color="auto" w:fill="C0C0C0"/>
            <w:vAlign w:val="center"/>
          </w:tcPr>
          <w:p w14:paraId="7541176A" w14:textId="77777777" w:rsidR="00200682" w:rsidRPr="003234C5" w:rsidRDefault="00200682" w:rsidP="00E84342">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APLICAÇÃO</w:t>
            </w:r>
          </w:p>
        </w:tc>
        <w:tc>
          <w:tcPr>
            <w:tcW w:w="2126" w:type="dxa"/>
            <w:shd w:val="clear" w:color="auto" w:fill="C0C0C0"/>
            <w:vAlign w:val="center"/>
          </w:tcPr>
          <w:p w14:paraId="5D2C38D7" w14:textId="77777777" w:rsidR="00200682" w:rsidRPr="003234C5" w:rsidRDefault="00200682" w:rsidP="00E84342">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REMUNERAÇÃO</w:t>
            </w:r>
          </w:p>
        </w:tc>
        <w:tc>
          <w:tcPr>
            <w:tcW w:w="1417" w:type="dxa"/>
            <w:shd w:val="clear" w:color="auto" w:fill="C0C0C0"/>
          </w:tcPr>
          <w:p w14:paraId="048D6959" w14:textId="1630C165" w:rsidR="00200682" w:rsidRPr="003234C5" w:rsidRDefault="00C6257E" w:rsidP="00E84342">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417" w:type="dxa"/>
            <w:shd w:val="clear" w:color="auto" w:fill="C0C0C0"/>
            <w:vAlign w:val="center"/>
          </w:tcPr>
          <w:p w14:paraId="400F3B9F" w14:textId="1C1BC9F8" w:rsidR="00200682" w:rsidRPr="003234C5" w:rsidRDefault="00C6257E" w:rsidP="00E84342">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620B90" w:rsidRPr="003234C5" w14:paraId="6E2C2154" w14:textId="77777777" w:rsidTr="560654F9">
        <w:trPr>
          <w:trHeight w:val="20"/>
          <w:jc w:val="center"/>
        </w:trPr>
        <w:tc>
          <w:tcPr>
            <w:tcW w:w="2263" w:type="dxa"/>
            <w:shd w:val="clear" w:color="auto" w:fill="FFFFFF" w:themeFill="background1"/>
            <w:vAlign w:val="center"/>
          </w:tcPr>
          <w:p w14:paraId="77C8DBB4" w14:textId="77777777"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Caixa</w:t>
            </w:r>
          </w:p>
        </w:tc>
        <w:tc>
          <w:tcPr>
            <w:tcW w:w="2127" w:type="dxa"/>
            <w:shd w:val="clear" w:color="auto" w:fill="FFFFFF" w:themeFill="background1"/>
          </w:tcPr>
          <w:p w14:paraId="6FA17050" w14:textId="77777777" w:rsidR="00620B90" w:rsidRPr="003234C5" w:rsidRDefault="00620B90" w:rsidP="00620B90">
            <w:pPr>
              <w:autoSpaceDE w:val="0"/>
              <w:autoSpaceDN w:val="0"/>
              <w:adjustRightInd w:val="0"/>
              <w:spacing w:after="0"/>
              <w:jc w:val="both"/>
              <w:rPr>
                <w:rFonts w:ascii="Arial" w:hAnsi="Arial" w:cs="Arial"/>
                <w:sz w:val="20"/>
                <w:szCs w:val="20"/>
              </w:rPr>
            </w:pPr>
          </w:p>
        </w:tc>
        <w:tc>
          <w:tcPr>
            <w:tcW w:w="2126" w:type="dxa"/>
            <w:shd w:val="clear" w:color="auto" w:fill="FFFFFF" w:themeFill="background1"/>
          </w:tcPr>
          <w:p w14:paraId="1F5EAADF" w14:textId="77777777" w:rsidR="00620B90" w:rsidRPr="003234C5" w:rsidRDefault="00620B90" w:rsidP="00620B90">
            <w:pPr>
              <w:autoSpaceDE w:val="0"/>
              <w:autoSpaceDN w:val="0"/>
              <w:adjustRightInd w:val="0"/>
              <w:spacing w:after="0"/>
              <w:jc w:val="both"/>
              <w:rPr>
                <w:rFonts w:ascii="Arial" w:hAnsi="Arial" w:cs="Arial"/>
                <w:sz w:val="20"/>
                <w:szCs w:val="20"/>
              </w:rPr>
            </w:pPr>
          </w:p>
        </w:tc>
        <w:tc>
          <w:tcPr>
            <w:tcW w:w="1417" w:type="dxa"/>
            <w:shd w:val="clear" w:color="auto" w:fill="FFFFFF" w:themeFill="background1"/>
            <w:vAlign w:val="center"/>
          </w:tcPr>
          <w:p w14:paraId="0DCDDF97" w14:textId="1924E883" w:rsidR="00620B90" w:rsidRPr="00B64882" w:rsidRDefault="00B64882" w:rsidP="00B64882">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1</w:t>
            </w:r>
          </w:p>
        </w:tc>
        <w:tc>
          <w:tcPr>
            <w:tcW w:w="1417" w:type="dxa"/>
            <w:shd w:val="clear" w:color="auto" w:fill="FFFFFF" w:themeFill="background1"/>
            <w:vAlign w:val="center"/>
          </w:tcPr>
          <w:p w14:paraId="2E076EA3" w14:textId="06ED4716" w:rsidR="00620B90" w:rsidRPr="003234C5" w:rsidRDefault="00620B90" w:rsidP="00620B90">
            <w:pPr>
              <w:spacing w:after="0"/>
              <w:jc w:val="right"/>
              <w:rPr>
                <w:rFonts w:ascii="Arial" w:hAnsi="Arial" w:cs="Arial"/>
                <w:sz w:val="20"/>
                <w:szCs w:val="20"/>
              </w:rPr>
            </w:pPr>
            <w:r w:rsidRPr="003234C5">
              <w:rPr>
                <w:rFonts w:ascii="Arial" w:hAnsi="Arial" w:cs="Arial"/>
                <w:color w:val="000000"/>
                <w:sz w:val="20"/>
                <w:szCs w:val="20"/>
              </w:rPr>
              <w:t>1</w:t>
            </w:r>
          </w:p>
        </w:tc>
      </w:tr>
      <w:tr w:rsidR="00620B90" w:rsidRPr="003234C5" w14:paraId="3895793F" w14:textId="77777777" w:rsidTr="560654F9">
        <w:trPr>
          <w:trHeight w:val="20"/>
          <w:jc w:val="center"/>
        </w:trPr>
        <w:tc>
          <w:tcPr>
            <w:tcW w:w="2263" w:type="dxa"/>
            <w:tcBorders>
              <w:bottom w:val="single" w:sz="4" w:space="0" w:color="auto"/>
            </w:tcBorders>
            <w:shd w:val="clear" w:color="auto" w:fill="FFFFFF" w:themeFill="background1"/>
            <w:vAlign w:val="center"/>
          </w:tcPr>
          <w:p w14:paraId="2E07839C" w14:textId="77777777"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Bancos</w:t>
            </w:r>
          </w:p>
        </w:tc>
        <w:tc>
          <w:tcPr>
            <w:tcW w:w="2127" w:type="dxa"/>
            <w:tcBorders>
              <w:bottom w:val="single" w:sz="4" w:space="0" w:color="auto"/>
            </w:tcBorders>
            <w:shd w:val="clear" w:color="auto" w:fill="FFFFFF" w:themeFill="background1"/>
          </w:tcPr>
          <w:p w14:paraId="7150C751" w14:textId="77777777" w:rsidR="00620B90" w:rsidRPr="003234C5" w:rsidRDefault="00620B90" w:rsidP="00620B90">
            <w:pPr>
              <w:autoSpaceDE w:val="0"/>
              <w:autoSpaceDN w:val="0"/>
              <w:adjustRightInd w:val="0"/>
              <w:spacing w:after="0"/>
              <w:jc w:val="both"/>
              <w:rPr>
                <w:rFonts w:ascii="Arial" w:hAnsi="Arial" w:cs="Arial"/>
                <w:sz w:val="20"/>
                <w:szCs w:val="20"/>
              </w:rPr>
            </w:pPr>
          </w:p>
        </w:tc>
        <w:tc>
          <w:tcPr>
            <w:tcW w:w="2126" w:type="dxa"/>
            <w:tcBorders>
              <w:bottom w:val="single" w:sz="4" w:space="0" w:color="auto"/>
            </w:tcBorders>
            <w:shd w:val="clear" w:color="auto" w:fill="FFFFFF" w:themeFill="background1"/>
          </w:tcPr>
          <w:p w14:paraId="42FB71DA" w14:textId="77777777" w:rsidR="00620B90" w:rsidRPr="003234C5" w:rsidRDefault="00620B90" w:rsidP="00620B90">
            <w:pPr>
              <w:autoSpaceDE w:val="0"/>
              <w:autoSpaceDN w:val="0"/>
              <w:adjustRightInd w:val="0"/>
              <w:spacing w:after="0"/>
              <w:jc w:val="both"/>
              <w:rPr>
                <w:rFonts w:ascii="Arial" w:hAnsi="Arial" w:cs="Arial"/>
                <w:sz w:val="20"/>
                <w:szCs w:val="20"/>
              </w:rPr>
            </w:pPr>
          </w:p>
        </w:tc>
        <w:tc>
          <w:tcPr>
            <w:tcW w:w="1417" w:type="dxa"/>
            <w:tcBorders>
              <w:bottom w:val="single" w:sz="4" w:space="0" w:color="auto"/>
            </w:tcBorders>
            <w:shd w:val="clear" w:color="auto" w:fill="FFFFFF" w:themeFill="background1"/>
            <w:vAlign w:val="center"/>
          </w:tcPr>
          <w:p w14:paraId="434B82C0" w14:textId="377788B3" w:rsidR="00620B90" w:rsidRPr="003234C5" w:rsidRDefault="00B64882" w:rsidP="00620B90">
            <w:pPr>
              <w:spacing w:after="0"/>
              <w:jc w:val="right"/>
              <w:rPr>
                <w:rFonts w:ascii="Arial" w:hAnsi="Arial" w:cs="Arial"/>
                <w:sz w:val="20"/>
                <w:szCs w:val="20"/>
              </w:rPr>
            </w:pPr>
            <w:r w:rsidRPr="560654F9">
              <w:rPr>
                <w:rFonts w:ascii="Arial" w:hAnsi="Arial" w:cs="Arial"/>
                <w:sz w:val="20"/>
                <w:szCs w:val="20"/>
              </w:rPr>
              <w:t>13</w:t>
            </w:r>
            <w:r w:rsidR="2AA30711" w:rsidRPr="560654F9">
              <w:rPr>
                <w:rFonts w:ascii="Arial" w:hAnsi="Arial" w:cs="Arial"/>
                <w:sz w:val="20"/>
                <w:szCs w:val="20"/>
              </w:rPr>
              <w:t>2</w:t>
            </w:r>
          </w:p>
        </w:tc>
        <w:tc>
          <w:tcPr>
            <w:tcW w:w="1417" w:type="dxa"/>
            <w:tcBorders>
              <w:bottom w:val="single" w:sz="4" w:space="0" w:color="auto"/>
            </w:tcBorders>
            <w:shd w:val="clear" w:color="auto" w:fill="FFFFFF" w:themeFill="background1"/>
            <w:vAlign w:val="center"/>
          </w:tcPr>
          <w:p w14:paraId="42E3CF53" w14:textId="67D91FBF" w:rsidR="00620B90" w:rsidRPr="003234C5" w:rsidRDefault="00620B90" w:rsidP="00620B90">
            <w:pPr>
              <w:spacing w:after="0"/>
              <w:jc w:val="right"/>
              <w:rPr>
                <w:rFonts w:ascii="Arial" w:hAnsi="Arial" w:cs="Arial"/>
                <w:sz w:val="20"/>
                <w:szCs w:val="20"/>
              </w:rPr>
            </w:pPr>
            <w:r w:rsidRPr="003234C5">
              <w:rPr>
                <w:rFonts w:ascii="Arial" w:hAnsi="Arial" w:cs="Arial"/>
                <w:color w:val="000000"/>
                <w:sz w:val="20"/>
                <w:szCs w:val="20"/>
              </w:rPr>
              <w:t>174</w:t>
            </w:r>
          </w:p>
        </w:tc>
      </w:tr>
      <w:tr w:rsidR="00C12B2C" w:rsidRPr="003234C5" w14:paraId="1AFF7B9E" w14:textId="77777777" w:rsidTr="560654F9">
        <w:trPr>
          <w:trHeight w:val="20"/>
          <w:jc w:val="center"/>
        </w:trPr>
        <w:tc>
          <w:tcPr>
            <w:tcW w:w="6516" w:type="dxa"/>
            <w:gridSpan w:val="3"/>
            <w:tcBorders>
              <w:bottom w:val="single" w:sz="4" w:space="0" w:color="auto"/>
            </w:tcBorders>
            <w:shd w:val="clear" w:color="auto" w:fill="FFFFFF" w:themeFill="background1"/>
            <w:vAlign w:val="center"/>
          </w:tcPr>
          <w:p w14:paraId="59593469" w14:textId="77777777" w:rsidR="00C12B2C" w:rsidRPr="003234C5" w:rsidRDefault="00C12B2C" w:rsidP="00C12B2C">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 DE CAIXA E BANCOS</w:t>
            </w:r>
          </w:p>
        </w:tc>
        <w:tc>
          <w:tcPr>
            <w:tcW w:w="1417" w:type="dxa"/>
            <w:tcBorders>
              <w:bottom w:val="single" w:sz="4" w:space="0" w:color="auto"/>
            </w:tcBorders>
            <w:shd w:val="clear" w:color="auto" w:fill="FFFFFF" w:themeFill="background1"/>
          </w:tcPr>
          <w:p w14:paraId="4E3C87C5" w14:textId="5AE514C1" w:rsidR="00C12B2C" w:rsidRPr="003234C5" w:rsidRDefault="00B64882" w:rsidP="560654F9">
            <w:pPr>
              <w:spacing w:after="0"/>
              <w:jc w:val="right"/>
              <w:rPr>
                <w:rFonts w:ascii="Arial" w:hAnsi="Arial" w:cs="Arial"/>
                <w:b/>
                <w:bCs/>
                <w:sz w:val="20"/>
                <w:szCs w:val="20"/>
              </w:rPr>
            </w:pPr>
            <w:r w:rsidRPr="560654F9">
              <w:rPr>
                <w:rFonts w:ascii="Arial" w:hAnsi="Arial" w:cs="Arial"/>
                <w:b/>
                <w:bCs/>
                <w:sz w:val="20"/>
                <w:szCs w:val="20"/>
              </w:rPr>
              <w:t>13</w:t>
            </w:r>
            <w:r w:rsidR="59A94A1B" w:rsidRPr="560654F9">
              <w:rPr>
                <w:rFonts w:ascii="Arial" w:hAnsi="Arial" w:cs="Arial"/>
                <w:b/>
                <w:bCs/>
                <w:sz w:val="20"/>
                <w:szCs w:val="20"/>
              </w:rPr>
              <w:t>3</w:t>
            </w:r>
          </w:p>
        </w:tc>
        <w:tc>
          <w:tcPr>
            <w:tcW w:w="1417" w:type="dxa"/>
            <w:tcBorders>
              <w:bottom w:val="single" w:sz="4" w:space="0" w:color="auto"/>
            </w:tcBorders>
            <w:shd w:val="clear" w:color="auto" w:fill="FFFFFF" w:themeFill="background1"/>
            <w:vAlign w:val="center"/>
          </w:tcPr>
          <w:p w14:paraId="0331726D" w14:textId="5994F196" w:rsidR="00C12B2C" w:rsidRPr="003234C5" w:rsidRDefault="00C12B2C" w:rsidP="00C12B2C">
            <w:pPr>
              <w:spacing w:after="0"/>
              <w:jc w:val="right"/>
              <w:rPr>
                <w:rFonts w:ascii="Arial" w:hAnsi="Arial" w:cs="Arial"/>
                <w:b/>
                <w:sz w:val="20"/>
                <w:szCs w:val="20"/>
              </w:rPr>
            </w:pPr>
            <w:r w:rsidRPr="003234C5">
              <w:rPr>
                <w:rFonts w:ascii="Arial" w:hAnsi="Arial" w:cs="Arial"/>
                <w:b/>
                <w:sz w:val="20"/>
                <w:szCs w:val="20"/>
              </w:rPr>
              <w:t>175</w:t>
            </w:r>
          </w:p>
        </w:tc>
      </w:tr>
      <w:tr w:rsidR="00C12B2C" w:rsidRPr="003234C5" w14:paraId="7989F6E1" w14:textId="77777777" w:rsidTr="560654F9">
        <w:trPr>
          <w:trHeight w:val="20"/>
          <w:jc w:val="center"/>
        </w:trPr>
        <w:tc>
          <w:tcPr>
            <w:tcW w:w="2263" w:type="dxa"/>
            <w:tcBorders>
              <w:top w:val="single" w:sz="4" w:space="0" w:color="auto"/>
            </w:tcBorders>
            <w:shd w:val="clear" w:color="auto" w:fill="FFFFFF" w:themeFill="background1"/>
            <w:vAlign w:val="center"/>
          </w:tcPr>
          <w:p w14:paraId="563622D5" w14:textId="77777777" w:rsidR="00C12B2C" w:rsidRPr="003234C5" w:rsidRDefault="00C12B2C" w:rsidP="00C12B2C">
            <w:pPr>
              <w:spacing w:after="0"/>
              <w:jc w:val="both"/>
              <w:rPr>
                <w:rFonts w:ascii="Arial" w:hAnsi="Arial" w:cs="Arial"/>
                <w:sz w:val="20"/>
                <w:szCs w:val="20"/>
              </w:rPr>
            </w:pPr>
            <w:r w:rsidRPr="003234C5">
              <w:rPr>
                <w:rFonts w:ascii="Arial" w:hAnsi="Arial" w:cs="Arial"/>
                <w:sz w:val="20"/>
                <w:szCs w:val="20"/>
              </w:rPr>
              <w:t>Aplicações Financeiras</w:t>
            </w:r>
          </w:p>
        </w:tc>
        <w:tc>
          <w:tcPr>
            <w:tcW w:w="2127" w:type="dxa"/>
            <w:tcBorders>
              <w:top w:val="single" w:sz="4" w:space="0" w:color="auto"/>
            </w:tcBorders>
            <w:shd w:val="clear" w:color="auto" w:fill="FFFFFF" w:themeFill="background1"/>
          </w:tcPr>
          <w:p w14:paraId="75E32C54" w14:textId="77777777" w:rsidR="00C12B2C" w:rsidRPr="003234C5" w:rsidRDefault="00C12B2C" w:rsidP="00C12B2C">
            <w:pPr>
              <w:autoSpaceDE w:val="0"/>
              <w:autoSpaceDN w:val="0"/>
              <w:adjustRightInd w:val="0"/>
              <w:spacing w:after="0"/>
              <w:jc w:val="both"/>
              <w:rPr>
                <w:rFonts w:ascii="Arial" w:hAnsi="Arial" w:cs="Arial"/>
                <w:sz w:val="20"/>
                <w:szCs w:val="20"/>
              </w:rPr>
            </w:pPr>
          </w:p>
        </w:tc>
        <w:tc>
          <w:tcPr>
            <w:tcW w:w="2126" w:type="dxa"/>
            <w:tcBorders>
              <w:top w:val="single" w:sz="4" w:space="0" w:color="auto"/>
            </w:tcBorders>
            <w:shd w:val="clear" w:color="auto" w:fill="FFFFFF" w:themeFill="background1"/>
          </w:tcPr>
          <w:p w14:paraId="27288263" w14:textId="77777777" w:rsidR="00C12B2C" w:rsidRPr="003234C5" w:rsidRDefault="00C12B2C" w:rsidP="00C12B2C">
            <w:pPr>
              <w:autoSpaceDE w:val="0"/>
              <w:autoSpaceDN w:val="0"/>
              <w:adjustRightInd w:val="0"/>
              <w:spacing w:after="0"/>
              <w:jc w:val="both"/>
              <w:rPr>
                <w:rFonts w:ascii="Arial" w:hAnsi="Arial" w:cs="Arial"/>
                <w:sz w:val="20"/>
                <w:szCs w:val="20"/>
              </w:rPr>
            </w:pPr>
          </w:p>
        </w:tc>
        <w:tc>
          <w:tcPr>
            <w:tcW w:w="1417" w:type="dxa"/>
            <w:tcBorders>
              <w:top w:val="single" w:sz="4" w:space="0" w:color="auto"/>
            </w:tcBorders>
            <w:shd w:val="clear" w:color="auto" w:fill="FFFFFF" w:themeFill="background1"/>
            <w:vAlign w:val="center"/>
          </w:tcPr>
          <w:p w14:paraId="581ECAC8" w14:textId="06621977" w:rsidR="00C12B2C" w:rsidRPr="003234C5" w:rsidRDefault="00C12B2C" w:rsidP="00C12B2C">
            <w:pPr>
              <w:spacing w:after="0"/>
              <w:jc w:val="right"/>
              <w:rPr>
                <w:rFonts w:ascii="Arial" w:hAnsi="Arial" w:cs="Arial"/>
                <w:sz w:val="20"/>
                <w:szCs w:val="20"/>
              </w:rPr>
            </w:pPr>
          </w:p>
        </w:tc>
        <w:tc>
          <w:tcPr>
            <w:tcW w:w="1417" w:type="dxa"/>
            <w:tcBorders>
              <w:top w:val="single" w:sz="4" w:space="0" w:color="auto"/>
            </w:tcBorders>
            <w:shd w:val="clear" w:color="auto" w:fill="FFFFFF" w:themeFill="background1"/>
          </w:tcPr>
          <w:p w14:paraId="30564B0D" w14:textId="77777777" w:rsidR="00C12B2C" w:rsidRPr="003234C5" w:rsidRDefault="00C12B2C" w:rsidP="00C12B2C">
            <w:pPr>
              <w:spacing w:after="0"/>
              <w:jc w:val="right"/>
              <w:rPr>
                <w:rFonts w:ascii="Arial" w:hAnsi="Arial" w:cs="Arial"/>
                <w:sz w:val="20"/>
                <w:szCs w:val="20"/>
              </w:rPr>
            </w:pPr>
          </w:p>
        </w:tc>
      </w:tr>
      <w:tr w:rsidR="00620B90" w:rsidRPr="003234C5" w14:paraId="5065AD6A" w14:textId="77777777" w:rsidTr="560654F9">
        <w:trPr>
          <w:trHeight w:val="20"/>
          <w:jc w:val="center"/>
        </w:trPr>
        <w:tc>
          <w:tcPr>
            <w:tcW w:w="2263" w:type="dxa"/>
            <w:shd w:val="clear" w:color="auto" w:fill="FFFFFF" w:themeFill="background1"/>
            <w:vAlign w:val="center"/>
          </w:tcPr>
          <w:p w14:paraId="3CD108AE" w14:textId="77777777" w:rsidR="00620B90" w:rsidRPr="003234C5" w:rsidRDefault="00620B90" w:rsidP="00620B90">
            <w:pPr>
              <w:spacing w:after="0"/>
              <w:jc w:val="both"/>
              <w:rPr>
                <w:rFonts w:ascii="Arial" w:hAnsi="Arial" w:cs="Arial"/>
                <w:sz w:val="20"/>
                <w:szCs w:val="20"/>
              </w:rPr>
            </w:pPr>
            <w:bookmarkStart w:id="4" w:name="_Hlk506283346"/>
            <w:r w:rsidRPr="003234C5">
              <w:rPr>
                <w:rFonts w:ascii="Arial" w:hAnsi="Arial" w:cs="Arial"/>
                <w:sz w:val="20"/>
                <w:szCs w:val="20"/>
              </w:rPr>
              <w:t>Banco do Brasil</w:t>
            </w:r>
          </w:p>
        </w:tc>
        <w:tc>
          <w:tcPr>
            <w:tcW w:w="2127" w:type="dxa"/>
            <w:shd w:val="clear" w:color="auto" w:fill="auto"/>
            <w:vAlign w:val="center"/>
          </w:tcPr>
          <w:p w14:paraId="3A46C744" w14:textId="77777777"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 xml:space="preserve">FUNDO BB </w:t>
            </w:r>
          </w:p>
        </w:tc>
        <w:tc>
          <w:tcPr>
            <w:tcW w:w="2126" w:type="dxa"/>
            <w:shd w:val="clear" w:color="auto" w:fill="auto"/>
          </w:tcPr>
          <w:p w14:paraId="48573D31" w14:textId="672BE20B" w:rsidR="00620B90" w:rsidRPr="003234C5" w:rsidRDefault="003F0B9F" w:rsidP="00620B90">
            <w:pPr>
              <w:spacing w:after="0"/>
              <w:jc w:val="center"/>
              <w:rPr>
                <w:rFonts w:ascii="Arial" w:hAnsi="Arial" w:cs="Arial"/>
                <w:sz w:val="20"/>
                <w:szCs w:val="20"/>
              </w:rPr>
            </w:pPr>
            <w:r>
              <w:rPr>
                <w:rFonts w:ascii="Arial" w:hAnsi="Arial" w:cs="Arial"/>
                <w:sz w:val="20"/>
              </w:rPr>
              <w:t>100</w:t>
            </w:r>
            <w:r w:rsidR="00620B90" w:rsidRPr="003234C5">
              <w:rPr>
                <w:rFonts w:ascii="Arial" w:hAnsi="Arial" w:cs="Arial"/>
                <w:sz w:val="20"/>
              </w:rPr>
              <w:t>% do CDI</w:t>
            </w:r>
          </w:p>
        </w:tc>
        <w:tc>
          <w:tcPr>
            <w:tcW w:w="1417" w:type="dxa"/>
            <w:shd w:val="clear" w:color="auto" w:fill="FFFFFF" w:themeFill="background1"/>
            <w:vAlign w:val="center"/>
          </w:tcPr>
          <w:p w14:paraId="55D35133" w14:textId="7088C41F" w:rsidR="00620B90" w:rsidRPr="003234C5" w:rsidRDefault="00B64882" w:rsidP="00620B90">
            <w:pPr>
              <w:spacing w:after="0"/>
              <w:jc w:val="right"/>
              <w:rPr>
                <w:rFonts w:ascii="Arial" w:hAnsi="Arial" w:cs="Arial"/>
                <w:sz w:val="20"/>
                <w:szCs w:val="20"/>
              </w:rPr>
            </w:pPr>
            <w:r>
              <w:rPr>
                <w:rFonts w:ascii="Arial" w:hAnsi="Arial" w:cs="Arial"/>
                <w:sz w:val="20"/>
                <w:szCs w:val="20"/>
              </w:rPr>
              <w:t>10.302</w:t>
            </w:r>
          </w:p>
        </w:tc>
        <w:tc>
          <w:tcPr>
            <w:tcW w:w="1417" w:type="dxa"/>
            <w:shd w:val="clear" w:color="auto" w:fill="FFFFFF" w:themeFill="background1"/>
            <w:vAlign w:val="center"/>
          </w:tcPr>
          <w:p w14:paraId="26DEE78C" w14:textId="18088847" w:rsidR="00620B90" w:rsidRPr="003234C5" w:rsidRDefault="00620B90" w:rsidP="00620B90">
            <w:pPr>
              <w:spacing w:after="0"/>
              <w:jc w:val="right"/>
              <w:rPr>
                <w:rFonts w:ascii="Arial" w:hAnsi="Arial" w:cs="Arial"/>
                <w:sz w:val="20"/>
                <w:szCs w:val="20"/>
              </w:rPr>
            </w:pPr>
            <w:r w:rsidRPr="003234C5">
              <w:rPr>
                <w:rFonts w:ascii="Arial" w:hAnsi="Arial" w:cs="Arial"/>
                <w:color w:val="000000"/>
                <w:sz w:val="20"/>
                <w:szCs w:val="20"/>
              </w:rPr>
              <w:t>16.859</w:t>
            </w:r>
          </w:p>
        </w:tc>
      </w:tr>
      <w:tr w:rsidR="00620B90" w:rsidRPr="003234C5" w14:paraId="1DBC0B31" w14:textId="77777777" w:rsidTr="560654F9">
        <w:trPr>
          <w:trHeight w:val="20"/>
          <w:jc w:val="center"/>
        </w:trPr>
        <w:tc>
          <w:tcPr>
            <w:tcW w:w="2263" w:type="dxa"/>
            <w:shd w:val="clear" w:color="auto" w:fill="FFFFFF" w:themeFill="background1"/>
            <w:vAlign w:val="center"/>
          </w:tcPr>
          <w:p w14:paraId="67BAA741" w14:textId="77777777"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Banco do Nordeste</w:t>
            </w:r>
          </w:p>
        </w:tc>
        <w:tc>
          <w:tcPr>
            <w:tcW w:w="2127" w:type="dxa"/>
            <w:shd w:val="clear" w:color="auto" w:fill="FFFFFF" w:themeFill="background1"/>
            <w:vAlign w:val="center"/>
          </w:tcPr>
          <w:p w14:paraId="7EAF4A17" w14:textId="77777777"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CDB</w:t>
            </w:r>
          </w:p>
        </w:tc>
        <w:tc>
          <w:tcPr>
            <w:tcW w:w="2126" w:type="dxa"/>
            <w:shd w:val="clear" w:color="auto" w:fill="FFFFFF" w:themeFill="background1"/>
          </w:tcPr>
          <w:p w14:paraId="25BA60A0" w14:textId="75BA7277" w:rsidR="00620B90" w:rsidRPr="003234C5" w:rsidRDefault="00620B90" w:rsidP="00620B90">
            <w:pPr>
              <w:spacing w:after="0"/>
              <w:jc w:val="center"/>
              <w:rPr>
                <w:rFonts w:ascii="Arial" w:hAnsi="Arial" w:cs="Arial"/>
                <w:color w:val="000000"/>
                <w:sz w:val="20"/>
                <w:szCs w:val="20"/>
              </w:rPr>
            </w:pPr>
            <w:r w:rsidRPr="003234C5">
              <w:rPr>
                <w:rFonts w:ascii="Arial" w:hAnsi="Arial" w:cs="Arial"/>
                <w:sz w:val="20"/>
              </w:rPr>
              <w:t>99% a 100,25% CDI</w:t>
            </w:r>
          </w:p>
        </w:tc>
        <w:tc>
          <w:tcPr>
            <w:tcW w:w="1417" w:type="dxa"/>
            <w:shd w:val="clear" w:color="auto" w:fill="FFFFFF" w:themeFill="background1"/>
            <w:vAlign w:val="center"/>
          </w:tcPr>
          <w:p w14:paraId="7A198ECC" w14:textId="42F1F969" w:rsidR="00620B90" w:rsidRPr="003234C5" w:rsidRDefault="00B64882" w:rsidP="00620B90">
            <w:pPr>
              <w:spacing w:after="0"/>
              <w:jc w:val="right"/>
              <w:rPr>
                <w:rFonts w:ascii="Arial" w:hAnsi="Arial" w:cs="Arial"/>
                <w:sz w:val="20"/>
                <w:szCs w:val="20"/>
              </w:rPr>
            </w:pPr>
            <w:r w:rsidRPr="560654F9">
              <w:rPr>
                <w:rFonts w:ascii="Arial" w:hAnsi="Arial" w:cs="Arial"/>
                <w:sz w:val="20"/>
                <w:szCs w:val="20"/>
              </w:rPr>
              <w:t>84.87</w:t>
            </w:r>
            <w:r w:rsidR="2D65F32A" w:rsidRPr="560654F9">
              <w:rPr>
                <w:rFonts w:ascii="Arial" w:hAnsi="Arial" w:cs="Arial"/>
                <w:sz w:val="20"/>
                <w:szCs w:val="20"/>
              </w:rPr>
              <w:t>8</w:t>
            </w:r>
          </w:p>
        </w:tc>
        <w:tc>
          <w:tcPr>
            <w:tcW w:w="1417" w:type="dxa"/>
            <w:shd w:val="clear" w:color="auto" w:fill="FFFFFF" w:themeFill="background1"/>
            <w:vAlign w:val="center"/>
          </w:tcPr>
          <w:p w14:paraId="41881C8C" w14:textId="1022E2E0" w:rsidR="00620B90" w:rsidRPr="003234C5" w:rsidRDefault="00620B90" w:rsidP="00620B90">
            <w:pPr>
              <w:spacing w:after="0"/>
              <w:jc w:val="right"/>
              <w:rPr>
                <w:rFonts w:ascii="Arial" w:hAnsi="Arial" w:cs="Arial"/>
                <w:sz w:val="20"/>
                <w:szCs w:val="20"/>
              </w:rPr>
            </w:pPr>
            <w:r w:rsidRPr="003234C5">
              <w:rPr>
                <w:rFonts w:ascii="Arial" w:hAnsi="Arial" w:cs="Arial"/>
                <w:color w:val="000000"/>
                <w:sz w:val="20"/>
                <w:szCs w:val="20"/>
              </w:rPr>
              <w:t>74.832</w:t>
            </w:r>
          </w:p>
        </w:tc>
      </w:tr>
      <w:tr w:rsidR="00620B90" w:rsidRPr="003234C5" w14:paraId="24189F5A" w14:textId="77777777" w:rsidTr="560654F9">
        <w:trPr>
          <w:trHeight w:val="20"/>
          <w:jc w:val="center"/>
        </w:trPr>
        <w:tc>
          <w:tcPr>
            <w:tcW w:w="2263" w:type="dxa"/>
            <w:shd w:val="clear" w:color="auto" w:fill="FFFFFF" w:themeFill="background1"/>
            <w:vAlign w:val="center"/>
          </w:tcPr>
          <w:p w14:paraId="52061298" w14:textId="77777777"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Banco Safra</w:t>
            </w:r>
          </w:p>
        </w:tc>
        <w:tc>
          <w:tcPr>
            <w:tcW w:w="2127" w:type="dxa"/>
            <w:shd w:val="clear" w:color="auto" w:fill="FFFFFF" w:themeFill="background1"/>
            <w:vAlign w:val="center"/>
          </w:tcPr>
          <w:p w14:paraId="4E04291C" w14:textId="77777777"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BOX-DI</w:t>
            </w:r>
          </w:p>
        </w:tc>
        <w:tc>
          <w:tcPr>
            <w:tcW w:w="2126" w:type="dxa"/>
            <w:shd w:val="clear" w:color="auto" w:fill="FFFFFF" w:themeFill="background1"/>
          </w:tcPr>
          <w:p w14:paraId="10A9F37D" w14:textId="259335AD" w:rsidR="00620B90" w:rsidRPr="003234C5" w:rsidRDefault="00620B90" w:rsidP="00620B90">
            <w:pPr>
              <w:spacing w:after="0"/>
              <w:jc w:val="center"/>
              <w:rPr>
                <w:rFonts w:ascii="Arial" w:hAnsi="Arial" w:cs="Arial"/>
                <w:sz w:val="20"/>
                <w:szCs w:val="20"/>
              </w:rPr>
            </w:pPr>
            <w:r w:rsidRPr="003234C5">
              <w:rPr>
                <w:rFonts w:ascii="Arial" w:hAnsi="Arial" w:cs="Arial"/>
                <w:sz w:val="20"/>
              </w:rPr>
              <w:t>100% a 101,5% CDI</w:t>
            </w:r>
          </w:p>
        </w:tc>
        <w:tc>
          <w:tcPr>
            <w:tcW w:w="1417" w:type="dxa"/>
            <w:shd w:val="clear" w:color="auto" w:fill="FFFFFF" w:themeFill="background1"/>
            <w:vAlign w:val="center"/>
          </w:tcPr>
          <w:p w14:paraId="62EEAD7E" w14:textId="6C00AF74" w:rsidR="00620B90" w:rsidRPr="003234C5" w:rsidRDefault="00B64882" w:rsidP="00620B90">
            <w:pPr>
              <w:spacing w:after="0"/>
              <w:jc w:val="right"/>
              <w:rPr>
                <w:rFonts w:ascii="Arial" w:hAnsi="Arial" w:cs="Arial"/>
                <w:sz w:val="20"/>
                <w:szCs w:val="20"/>
              </w:rPr>
            </w:pPr>
            <w:r>
              <w:rPr>
                <w:rFonts w:ascii="Arial" w:hAnsi="Arial" w:cs="Arial"/>
                <w:sz w:val="20"/>
                <w:szCs w:val="20"/>
              </w:rPr>
              <w:t>25.291</w:t>
            </w:r>
          </w:p>
        </w:tc>
        <w:tc>
          <w:tcPr>
            <w:tcW w:w="1417" w:type="dxa"/>
            <w:shd w:val="clear" w:color="auto" w:fill="FFFFFF" w:themeFill="background1"/>
            <w:vAlign w:val="center"/>
          </w:tcPr>
          <w:p w14:paraId="7982A59E" w14:textId="6390E005" w:rsidR="00620B90" w:rsidRPr="003234C5" w:rsidRDefault="00620B90" w:rsidP="00620B90">
            <w:pPr>
              <w:spacing w:after="0"/>
              <w:jc w:val="right"/>
              <w:rPr>
                <w:rFonts w:ascii="Arial" w:hAnsi="Arial" w:cs="Arial"/>
                <w:sz w:val="20"/>
                <w:szCs w:val="20"/>
              </w:rPr>
            </w:pPr>
            <w:r w:rsidRPr="003234C5">
              <w:rPr>
                <w:rFonts w:ascii="Arial" w:hAnsi="Arial" w:cs="Arial"/>
                <w:color w:val="000000"/>
                <w:sz w:val="20"/>
                <w:szCs w:val="20"/>
              </w:rPr>
              <w:t>16.636</w:t>
            </w:r>
          </w:p>
        </w:tc>
      </w:tr>
      <w:bookmarkEnd w:id="4"/>
      <w:tr w:rsidR="00620B90" w:rsidRPr="003234C5" w14:paraId="346AAAA6" w14:textId="77777777" w:rsidTr="560654F9">
        <w:trPr>
          <w:trHeight w:val="20"/>
          <w:jc w:val="center"/>
        </w:trPr>
        <w:tc>
          <w:tcPr>
            <w:tcW w:w="2263" w:type="dxa"/>
            <w:shd w:val="clear" w:color="auto" w:fill="FFFFFF" w:themeFill="background1"/>
            <w:vAlign w:val="center"/>
          </w:tcPr>
          <w:p w14:paraId="069B8A74" w14:textId="323030FC"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Caixa Econ. Federal</w:t>
            </w:r>
          </w:p>
        </w:tc>
        <w:tc>
          <w:tcPr>
            <w:tcW w:w="2127" w:type="dxa"/>
            <w:shd w:val="clear" w:color="auto" w:fill="FFFFFF" w:themeFill="background1"/>
            <w:vAlign w:val="center"/>
          </w:tcPr>
          <w:p w14:paraId="181B3FF0" w14:textId="7DD40DC2"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CDB e FUNDO CEF</w:t>
            </w:r>
          </w:p>
        </w:tc>
        <w:tc>
          <w:tcPr>
            <w:tcW w:w="2126" w:type="dxa"/>
            <w:shd w:val="clear" w:color="auto" w:fill="FFFFFF" w:themeFill="background1"/>
          </w:tcPr>
          <w:p w14:paraId="68708BB7" w14:textId="4B20BFFD" w:rsidR="00620B90" w:rsidRPr="003234C5" w:rsidRDefault="00620B90" w:rsidP="00620B90">
            <w:pPr>
              <w:spacing w:after="0"/>
              <w:jc w:val="center"/>
              <w:rPr>
                <w:rFonts w:ascii="Arial" w:hAnsi="Arial" w:cs="Arial"/>
                <w:sz w:val="20"/>
              </w:rPr>
            </w:pPr>
            <w:r w:rsidRPr="003234C5">
              <w:rPr>
                <w:rFonts w:ascii="Arial" w:hAnsi="Arial" w:cs="Arial"/>
                <w:sz w:val="20"/>
              </w:rPr>
              <w:t>101% do CDI</w:t>
            </w:r>
          </w:p>
        </w:tc>
        <w:tc>
          <w:tcPr>
            <w:tcW w:w="1417" w:type="dxa"/>
            <w:shd w:val="clear" w:color="auto" w:fill="FFFFFF" w:themeFill="background1"/>
            <w:vAlign w:val="center"/>
          </w:tcPr>
          <w:p w14:paraId="40ACC7CB" w14:textId="7B17DFFA" w:rsidR="00620B90" w:rsidRPr="003234C5" w:rsidRDefault="00B64882" w:rsidP="00620B90">
            <w:pPr>
              <w:spacing w:after="0"/>
              <w:jc w:val="right"/>
              <w:rPr>
                <w:rFonts w:ascii="Arial" w:hAnsi="Arial" w:cs="Arial"/>
                <w:color w:val="000000"/>
                <w:sz w:val="20"/>
                <w:szCs w:val="20"/>
              </w:rPr>
            </w:pPr>
            <w:r>
              <w:rPr>
                <w:rFonts w:ascii="Arial" w:hAnsi="Arial" w:cs="Arial"/>
                <w:color w:val="000000"/>
                <w:sz w:val="20"/>
                <w:szCs w:val="20"/>
              </w:rPr>
              <w:t>14.540</w:t>
            </w:r>
          </w:p>
        </w:tc>
        <w:tc>
          <w:tcPr>
            <w:tcW w:w="1417" w:type="dxa"/>
            <w:shd w:val="clear" w:color="auto" w:fill="FFFFFF" w:themeFill="background1"/>
            <w:vAlign w:val="center"/>
          </w:tcPr>
          <w:p w14:paraId="3F798832" w14:textId="32E0476B" w:rsidR="00620B90" w:rsidRPr="003234C5" w:rsidRDefault="00620B90" w:rsidP="00620B90">
            <w:pPr>
              <w:spacing w:after="0"/>
              <w:jc w:val="right"/>
              <w:rPr>
                <w:rFonts w:ascii="Arial" w:hAnsi="Arial" w:cs="Arial"/>
                <w:color w:val="000000"/>
                <w:sz w:val="20"/>
                <w:szCs w:val="20"/>
              </w:rPr>
            </w:pPr>
            <w:r w:rsidRPr="003234C5">
              <w:rPr>
                <w:rFonts w:ascii="Arial" w:hAnsi="Arial" w:cs="Arial"/>
                <w:color w:val="000000"/>
                <w:sz w:val="20"/>
                <w:szCs w:val="20"/>
              </w:rPr>
              <w:t>13.713</w:t>
            </w:r>
          </w:p>
        </w:tc>
      </w:tr>
      <w:tr w:rsidR="00620B90" w:rsidRPr="003234C5" w14:paraId="5695D3A0" w14:textId="77777777" w:rsidTr="560654F9">
        <w:trPr>
          <w:trHeight w:val="20"/>
          <w:jc w:val="center"/>
        </w:trPr>
        <w:tc>
          <w:tcPr>
            <w:tcW w:w="2263" w:type="dxa"/>
            <w:shd w:val="clear" w:color="auto" w:fill="FFFFFF" w:themeFill="background1"/>
            <w:vAlign w:val="center"/>
          </w:tcPr>
          <w:p w14:paraId="5FA60A66" w14:textId="232A818F"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Bradesco</w:t>
            </w:r>
          </w:p>
        </w:tc>
        <w:tc>
          <w:tcPr>
            <w:tcW w:w="2127" w:type="dxa"/>
            <w:shd w:val="clear" w:color="auto" w:fill="FFFFFF" w:themeFill="background1"/>
            <w:vAlign w:val="center"/>
          </w:tcPr>
          <w:p w14:paraId="7FE9C890" w14:textId="7D2946A6" w:rsidR="00620B90" w:rsidRPr="003234C5" w:rsidRDefault="00620B90" w:rsidP="00620B90">
            <w:pPr>
              <w:spacing w:after="0"/>
              <w:jc w:val="both"/>
              <w:rPr>
                <w:rFonts w:ascii="Arial" w:hAnsi="Arial" w:cs="Arial"/>
                <w:sz w:val="20"/>
                <w:szCs w:val="20"/>
              </w:rPr>
            </w:pPr>
            <w:r w:rsidRPr="003234C5">
              <w:rPr>
                <w:rFonts w:ascii="Arial" w:hAnsi="Arial" w:cs="Arial"/>
                <w:sz w:val="20"/>
                <w:szCs w:val="20"/>
              </w:rPr>
              <w:t>Debêntures</w:t>
            </w:r>
          </w:p>
        </w:tc>
        <w:tc>
          <w:tcPr>
            <w:tcW w:w="2126" w:type="dxa"/>
            <w:shd w:val="clear" w:color="auto" w:fill="FFFFFF" w:themeFill="background1"/>
          </w:tcPr>
          <w:p w14:paraId="46C03087" w14:textId="42771174" w:rsidR="00620B90" w:rsidRPr="003234C5" w:rsidRDefault="00620B90" w:rsidP="00620B90">
            <w:pPr>
              <w:spacing w:after="0"/>
              <w:jc w:val="center"/>
              <w:rPr>
                <w:rFonts w:ascii="Arial" w:hAnsi="Arial" w:cs="Arial"/>
                <w:color w:val="000000"/>
                <w:sz w:val="20"/>
                <w:szCs w:val="20"/>
              </w:rPr>
            </w:pPr>
            <w:r w:rsidRPr="003234C5">
              <w:rPr>
                <w:rFonts w:ascii="Arial" w:hAnsi="Arial" w:cs="Arial"/>
                <w:color w:val="000000"/>
                <w:sz w:val="20"/>
                <w:szCs w:val="20"/>
              </w:rPr>
              <w:t>99% do CDI</w:t>
            </w:r>
          </w:p>
        </w:tc>
        <w:tc>
          <w:tcPr>
            <w:tcW w:w="1417" w:type="dxa"/>
            <w:shd w:val="clear" w:color="auto" w:fill="FFFFFF" w:themeFill="background1"/>
            <w:vAlign w:val="center"/>
          </w:tcPr>
          <w:p w14:paraId="56127A64" w14:textId="4185A325" w:rsidR="00620B90" w:rsidRPr="003234C5" w:rsidRDefault="00B64882" w:rsidP="00620B90">
            <w:pPr>
              <w:spacing w:after="0"/>
              <w:jc w:val="right"/>
              <w:rPr>
                <w:rFonts w:ascii="Arial" w:hAnsi="Arial" w:cs="Arial"/>
                <w:sz w:val="20"/>
                <w:szCs w:val="20"/>
              </w:rPr>
            </w:pPr>
            <w:r>
              <w:rPr>
                <w:rFonts w:ascii="Arial" w:hAnsi="Arial" w:cs="Arial"/>
                <w:sz w:val="20"/>
                <w:szCs w:val="20"/>
              </w:rPr>
              <w:t>1.396</w:t>
            </w:r>
          </w:p>
        </w:tc>
        <w:tc>
          <w:tcPr>
            <w:tcW w:w="1417" w:type="dxa"/>
            <w:shd w:val="clear" w:color="auto" w:fill="FFFFFF" w:themeFill="background1"/>
            <w:vAlign w:val="center"/>
          </w:tcPr>
          <w:p w14:paraId="1DEE35E2" w14:textId="4418BFBB" w:rsidR="00620B90" w:rsidRPr="003234C5" w:rsidRDefault="00620B90" w:rsidP="00620B90">
            <w:pPr>
              <w:spacing w:after="0"/>
              <w:jc w:val="right"/>
              <w:rPr>
                <w:rFonts w:ascii="Arial" w:hAnsi="Arial" w:cs="Arial"/>
                <w:sz w:val="20"/>
                <w:szCs w:val="20"/>
              </w:rPr>
            </w:pPr>
            <w:r w:rsidRPr="003234C5">
              <w:rPr>
                <w:rFonts w:ascii="Arial" w:hAnsi="Arial" w:cs="Arial"/>
                <w:sz w:val="20"/>
                <w:szCs w:val="20"/>
              </w:rPr>
              <w:t>-</w:t>
            </w:r>
          </w:p>
        </w:tc>
      </w:tr>
      <w:tr w:rsidR="00620B90" w:rsidRPr="003234C5" w14:paraId="131332AD" w14:textId="77777777" w:rsidTr="560654F9">
        <w:trPr>
          <w:trHeight w:val="20"/>
          <w:jc w:val="center"/>
        </w:trPr>
        <w:tc>
          <w:tcPr>
            <w:tcW w:w="6516" w:type="dxa"/>
            <w:gridSpan w:val="3"/>
            <w:shd w:val="clear" w:color="auto" w:fill="FFFFFF" w:themeFill="background1"/>
            <w:vAlign w:val="center"/>
          </w:tcPr>
          <w:p w14:paraId="4FAFF49E" w14:textId="77777777" w:rsidR="00620B90" w:rsidRPr="003234C5" w:rsidRDefault="00620B90" w:rsidP="00620B90">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 DE APLICAÇÕES FINANCEIRAS</w:t>
            </w:r>
          </w:p>
        </w:tc>
        <w:tc>
          <w:tcPr>
            <w:tcW w:w="1417" w:type="dxa"/>
            <w:shd w:val="clear" w:color="auto" w:fill="FFFFFF" w:themeFill="background1"/>
            <w:vAlign w:val="center"/>
          </w:tcPr>
          <w:p w14:paraId="2C482731" w14:textId="6EF8B19B" w:rsidR="00620B90" w:rsidRPr="003234C5" w:rsidRDefault="00B64882" w:rsidP="560654F9">
            <w:pPr>
              <w:spacing w:after="0"/>
              <w:jc w:val="right"/>
              <w:rPr>
                <w:rFonts w:ascii="Arial" w:hAnsi="Arial" w:cs="Arial"/>
                <w:b/>
                <w:bCs/>
                <w:sz w:val="20"/>
                <w:szCs w:val="20"/>
              </w:rPr>
            </w:pPr>
            <w:r w:rsidRPr="560654F9">
              <w:rPr>
                <w:rFonts w:ascii="Arial" w:hAnsi="Arial" w:cs="Arial"/>
                <w:b/>
                <w:bCs/>
                <w:sz w:val="20"/>
                <w:szCs w:val="20"/>
              </w:rPr>
              <w:t>136.40</w:t>
            </w:r>
            <w:r w:rsidR="6CA3E40F" w:rsidRPr="560654F9">
              <w:rPr>
                <w:rFonts w:ascii="Arial" w:hAnsi="Arial" w:cs="Arial"/>
                <w:b/>
                <w:bCs/>
                <w:sz w:val="20"/>
                <w:szCs w:val="20"/>
              </w:rPr>
              <w:t>7</w:t>
            </w:r>
          </w:p>
        </w:tc>
        <w:tc>
          <w:tcPr>
            <w:tcW w:w="1417" w:type="dxa"/>
            <w:shd w:val="clear" w:color="auto" w:fill="FFFFFF" w:themeFill="background1"/>
            <w:vAlign w:val="center"/>
          </w:tcPr>
          <w:p w14:paraId="67145BD0" w14:textId="40FF5002" w:rsidR="00620B90" w:rsidRPr="003234C5" w:rsidRDefault="00620B90" w:rsidP="00620B90">
            <w:pPr>
              <w:spacing w:after="0"/>
              <w:jc w:val="right"/>
              <w:rPr>
                <w:rFonts w:ascii="Arial" w:hAnsi="Arial" w:cs="Arial"/>
                <w:b/>
                <w:sz w:val="20"/>
                <w:szCs w:val="20"/>
              </w:rPr>
            </w:pPr>
            <w:r w:rsidRPr="003234C5">
              <w:rPr>
                <w:rFonts w:ascii="Arial" w:hAnsi="Arial" w:cs="Arial"/>
                <w:b/>
                <w:bCs/>
                <w:color w:val="000000"/>
                <w:sz w:val="20"/>
                <w:szCs w:val="20"/>
              </w:rPr>
              <w:t>122.040</w:t>
            </w:r>
          </w:p>
        </w:tc>
      </w:tr>
      <w:tr w:rsidR="00620B90" w:rsidRPr="003234C5" w14:paraId="3E5148DD" w14:textId="77777777" w:rsidTr="560654F9">
        <w:trPr>
          <w:trHeight w:val="233"/>
          <w:jc w:val="center"/>
        </w:trPr>
        <w:tc>
          <w:tcPr>
            <w:tcW w:w="6516" w:type="dxa"/>
            <w:gridSpan w:val="3"/>
            <w:shd w:val="clear" w:color="auto" w:fill="C0C0C0"/>
            <w:vAlign w:val="center"/>
          </w:tcPr>
          <w:p w14:paraId="628BD0D7" w14:textId="77777777" w:rsidR="00620B90" w:rsidRPr="003234C5" w:rsidRDefault="00620B90" w:rsidP="00620B90">
            <w:pPr>
              <w:autoSpaceDE w:val="0"/>
              <w:autoSpaceDN w:val="0"/>
              <w:adjustRightInd w:val="0"/>
              <w:spacing w:after="0"/>
              <w:jc w:val="both"/>
              <w:rPr>
                <w:rFonts w:ascii="Arial" w:hAnsi="Arial" w:cs="Arial"/>
                <w:b/>
                <w:sz w:val="20"/>
                <w:szCs w:val="20"/>
              </w:rPr>
            </w:pPr>
            <w:r w:rsidRPr="003234C5">
              <w:rPr>
                <w:rFonts w:ascii="Arial" w:hAnsi="Arial" w:cs="Arial"/>
                <w:b/>
                <w:sz w:val="20"/>
                <w:szCs w:val="20"/>
              </w:rPr>
              <w:t xml:space="preserve">TOTAL DE CAIXA E EQUIVALENTES DE CAIXA </w:t>
            </w:r>
          </w:p>
        </w:tc>
        <w:tc>
          <w:tcPr>
            <w:tcW w:w="1417" w:type="dxa"/>
            <w:shd w:val="clear" w:color="auto" w:fill="C0C0C0"/>
            <w:vAlign w:val="center"/>
          </w:tcPr>
          <w:p w14:paraId="28D7B893" w14:textId="71ADE1AE" w:rsidR="00620B90" w:rsidRPr="003234C5" w:rsidRDefault="00B64882" w:rsidP="00620B90">
            <w:pPr>
              <w:spacing w:after="0"/>
              <w:jc w:val="right"/>
              <w:rPr>
                <w:rFonts w:ascii="Arial" w:hAnsi="Arial" w:cs="Arial"/>
                <w:b/>
                <w:sz w:val="20"/>
                <w:szCs w:val="20"/>
              </w:rPr>
            </w:pPr>
            <w:r>
              <w:rPr>
                <w:rFonts w:ascii="Arial" w:hAnsi="Arial" w:cs="Arial"/>
                <w:b/>
                <w:sz w:val="20"/>
                <w:szCs w:val="20"/>
              </w:rPr>
              <w:t>136.540</w:t>
            </w:r>
          </w:p>
        </w:tc>
        <w:tc>
          <w:tcPr>
            <w:tcW w:w="1417" w:type="dxa"/>
            <w:shd w:val="clear" w:color="auto" w:fill="C0C0C0"/>
            <w:vAlign w:val="center"/>
          </w:tcPr>
          <w:p w14:paraId="76D0AB87" w14:textId="54E878C0" w:rsidR="00620B90" w:rsidRPr="003234C5" w:rsidRDefault="00620B90" w:rsidP="00620B90">
            <w:pPr>
              <w:spacing w:after="0"/>
              <w:jc w:val="right"/>
              <w:rPr>
                <w:rFonts w:ascii="Arial" w:hAnsi="Arial" w:cs="Arial"/>
                <w:b/>
                <w:sz w:val="20"/>
                <w:szCs w:val="20"/>
              </w:rPr>
            </w:pPr>
            <w:r w:rsidRPr="003234C5">
              <w:rPr>
                <w:rFonts w:ascii="Arial" w:hAnsi="Arial" w:cs="Arial"/>
                <w:b/>
                <w:bCs/>
                <w:color w:val="000000"/>
                <w:sz w:val="20"/>
                <w:szCs w:val="20"/>
              </w:rPr>
              <w:t>122.215</w:t>
            </w:r>
          </w:p>
        </w:tc>
      </w:tr>
      <w:bookmarkEnd w:id="3"/>
    </w:tbl>
    <w:p w14:paraId="4664698F" w14:textId="77777777" w:rsidR="00CC16DB" w:rsidRPr="003234C5" w:rsidRDefault="00CC16DB" w:rsidP="008B5CDD">
      <w:pPr>
        <w:widowControl w:val="0"/>
        <w:spacing w:after="0" w:line="240" w:lineRule="auto"/>
        <w:ind w:right="51"/>
        <w:jc w:val="both"/>
        <w:rPr>
          <w:rFonts w:ascii="Arial" w:hAnsi="Arial" w:cs="Arial"/>
          <w:b/>
          <w:sz w:val="24"/>
          <w:szCs w:val="24"/>
        </w:rPr>
      </w:pPr>
    </w:p>
    <w:p w14:paraId="2BF7435F" w14:textId="77777777" w:rsidR="005161A6" w:rsidRDefault="005161A6" w:rsidP="00200682">
      <w:pPr>
        <w:widowControl w:val="0"/>
        <w:ind w:right="50"/>
        <w:jc w:val="both"/>
        <w:rPr>
          <w:rFonts w:ascii="Arial" w:hAnsi="Arial" w:cs="Arial"/>
          <w:b/>
        </w:rPr>
      </w:pPr>
    </w:p>
    <w:p w14:paraId="082EC31A" w14:textId="77777777" w:rsidR="005161A6" w:rsidRDefault="005161A6" w:rsidP="00200682">
      <w:pPr>
        <w:widowControl w:val="0"/>
        <w:ind w:right="50"/>
        <w:jc w:val="both"/>
        <w:rPr>
          <w:rFonts w:ascii="Arial" w:hAnsi="Arial" w:cs="Arial"/>
          <w:b/>
        </w:rPr>
      </w:pPr>
    </w:p>
    <w:p w14:paraId="5902050C" w14:textId="77777777" w:rsidR="005161A6" w:rsidRDefault="005161A6" w:rsidP="00200682">
      <w:pPr>
        <w:widowControl w:val="0"/>
        <w:ind w:right="50"/>
        <w:jc w:val="both"/>
        <w:rPr>
          <w:rFonts w:ascii="Arial" w:hAnsi="Arial" w:cs="Arial"/>
          <w:b/>
        </w:rPr>
      </w:pPr>
    </w:p>
    <w:p w14:paraId="7388D493" w14:textId="04FF80EF" w:rsidR="00200682" w:rsidRPr="003234C5" w:rsidRDefault="00200682" w:rsidP="00200682">
      <w:pPr>
        <w:widowControl w:val="0"/>
        <w:ind w:right="50"/>
        <w:jc w:val="both"/>
        <w:rPr>
          <w:rFonts w:ascii="Arial" w:hAnsi="Arial" w:cs="Arial"/>
          <w:b/>
        </w:rPr>
      </w:pPr>
      <w:r w:rsidRPr="003234C5">
        <w:rPr>
          <w:rFonts w:ascii="Arial" w:hAnsi="Arial" w:cs="Arial"/>
          <w:b/>
        </w:rPr>
        <w:lastRenderedPageBreak/>
        <w:t xml:space="preserve">NOTA </w:t>
      </w:r>
      <w:r w:rsidR="0086045E" w:rsidRPr="003234C5">
        <w:rPr>
          <w:rFonts w:ascii="Arial" w:hAnsi="Arial" w:cs="Arial"/>
          <w:b/>
        </w:rPr>
        <w:t>8</w:t>
      </w:r>
      <w:r w:rsidRPr="003234C5">
        <w:rPr>
          <w:rFonts w:ascii="Arial" w:hAnsi="Arial" w:cs="Arial"/>
          <w:b/>
        </w:rPr>
        <w:t>. APLICAÇÕES FINANCEIRAS</w:t>
      </w:r>
    </w:p>
    <w:p w14:paraId="0FF33F64" w14:textId="54AEA1F8" w:rsidR="000E5F8E" w:rsidRPr="003234C5" w:rsidRDefault="00200682" w:rsidP="00200682">
      <w:pPr>
        <w:ind w:right="50"/>
        <w:jc w:val="both"/>
        <w:rPr>
          <w:rFonts w:ascii="Arial" w:hAnsi="Arial" w:cs="Arial"/>
        </w:rPr>
      </w:pPr>
      <w:r w:rsidRPr="003234C5">
        <w:rPr>
          <w:rFonts w:ascii="Arial" w:hAnsi="Arial" w:cs="Arial"/>
        </w:rPr>
        <w:t>Abaixo</w:t>
      </w:r>
      <w:r w:rsidR="002E2E7B">
        <w:rPr>
          <w:rFonts w:ascii="Arial" w:hAnsi="Arial" w:cs="Arial"/>
        </w:rPr>
        <w:t>,</w:t>
      </w:r>
      <w:r w:rsidRPr="003234C5">
        <w:rPr>
          <w:rFonts w:ascii="Arial" w:hAnsi="Arial" w:cs="Arial"/>
        </w:rPr>
        <w:t xml:space="preserve"> demonstramos as aplicações </w:t>
      </w:r>
      <w:r w:rsidR="000E5F8E" w:rsidRPr="003234C5">
        <w:rPr>
          <w:rFonts w:ascii="Arial" w:hAnsi="Arial" w:cs="Arial"/>
        </w:rPr>
        <w:t>de curto e longo prazo: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410"/>
        <w:gridCol w:w="1842"/>
        <w:gridCol w:w="1276"/>
        <w:gridCol w:w="1276"/>
      </w:tblGrid>
      <w:tr w:rsidR="00CC16DB" w:rsidRPr="003234C5" w14:paraId="5B7AFEE2" w14:textId="77777777" w:rsidTr="00CC16DB">
        <w:trPr>
          <w:trHeight w:val="170"/>
          <w:jc w:val="center"/>
        </w:trPr>
        <w:tc>
          <w:tcPr>
            <w:tcW w:w="2547" w:type="dxa"/>
            <w:shd w:val="clear" w:color="auto" w:fill="BFBFBF"/>
            <w:vAlign w:val="center"/>
          </w:tcPr>
          <w:p w14:paraId="0CBBDA47" w14:textId="77777777" w:rsidR="00CC16DB" w:rsidRPr="003234C5" w:rsidRDefault="00CC16DB" w:rsidP="00CC16DB">
            <w:pPr>
              <w:autoSpaceDE w:val="0"/>
              <w:autoSpaceDN w:val="0"/>
              <w:adjustRightInd w:val="0"/>
              <w:spacing w:after="0"/>
              <w:rPr>
                <w:rFonts w:ascii="Arial" w:hAnsi="Arial" w:cs="Arial"/>
                <w:b/>
                <w:sz w:val="20"/>
                <w:szCs w:val="20"/>
              </w:rPr>
            </w:pPr>
            <w:r w:rsidRPr="003234C5">
              <w:rPr>
                <w:rFonts w:ascii="Arial" w:hAnsi="Arial" w:cs="Arial"/>
                <w:b/>
                <w:sz w:val="20"/>
                <w:szCs w:val="20"/>
              </w:rPr>
              <w:t>DESCRIÇÃO</w:t>
            </w:r>
          </w:p>
        </w:tc>
        <w:tc>
          <w:tcPr>
            <w:tcW w:w="2410" w:type="dxa"/>
            <w:shd w:val="clear" w:color="auto" w:fill="BFBFBF"/>
            <w:vAlign w:val="center"/>
          </w:tcPr>
          <w:p w14:paraId="1DB1915D" w14:textId="684E38AE" w:rsidR="00CC16DB" w:rsidRPr="003234C5" w:rsidRDefault="00CC16DB" w:rsidP="00CC16DB">
            <w:pPr>
              <w:autoSpaceDE w:val="0"/>
              <w:autoSpaceDN w:val="0"/>
              <w:adjustRightInd w:val="0"/>
              <w:spacing w:after="0"/>
              <w:jc w:val="center"/>
              <w:rPr>
                <w:rFonts w:ascii="Arial" w:hAnsi="Arial" w:cs="Arial"/>
                <w:b/>
                <w:sz w:val="20"/>
                <w:szCs w:val="20"/>
              </w:rPr>
            </w:pPr>
            <w:r w:rsidRPr="003234C5">
              <w:rPr>
                <w:rFonts w:ascii="Arial" w:hAnsi="Arial" w:cs="Arial"/>
                <w:b/>
                <w:bCs/>
                <w:color w:val="000000"/>
                <w:sz w:val="20"/>
                <w:szCs w:val="20"/>
              </w:rPr>
              <w:t>TIPO DE APLICAÇÃO</w:t>
            </w:r>
          </w:p>
        </w:tc>
        <w:tc>
          <w:tcPr>
            <w:tcW w:w="1842" w:type="dxa"/>
            <w:shd w:val="clear" w:color="auto" w:fill="BFBFBF"/>
            <w:vAlign w:val="center"/>
          </w:tcPr>
          <w:p w14:paraId="40225FC5" w14:textId="77777777" w:rsidR="00CC16DB" w:rsidRPr="003234C5" w:rsidRDefault="00CC16DB" w:rsidP="00CC16DB">
            <w:pPr>
              <w:autoSpaceDE w:val="0"/>
              <w:autoSpaceDN w:val="0"/>
              <w:adjustRightInd w:val="0"/>
              <w:spacing w:after="0"/>
              <w:jc w:val="both"/>
              <w:rPr>
                <w:rFonts w:ascii="Arial" w:hAnsi="Arial" w:cs="Arial"/>
                <w:b/>
                <w:sz w:val="20"/>
                <w:szCs w:val="20"/>
              </w:rPr>
            </w:pPr>
            <w:r w:rsidRPr="003234C5">
              <w:rPr>
                <w:rFonts w:ascii="Arial" w:hAnsi="Arial" w:cs="Arial"/>
                <w:b/>
                <w:sz w:val="20"/>
                <w:szCs w:val="20"/>
              </w:rPr>
              <w:t>REMUNERAÇÃO</w:t>
            </w:r>
          </w:p>
        </w:tc>
        <w:tc>
          <w:tcPr>
            <w:tcW w:w="1276" w:type="dxa"/>
            <w:shd w:val="clear" w:color="auto" w:fill="BFBFBF"/>
          </w:tcPr>
          <w:p w14:paraId="01C0F13F" w14:textId="7F738D65" w:rsidR="00CC16DB" w:rsidRPr="003234C5" w:rsidRDefault="00C6257E" w:rsidP="00CC16DB">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276" w:type="dxa"/>
            <w:shd w:val="clear" w:color="auto" w:fill="BFBFBF"/>
            <w:vAlign w:val="center"/>
          </w:tcPr>
          <w:p w14:paraId="61F3A7D8" w14:textId="74263474" w:rsidR="00CC16DB" w:rsidRPr="003234C5" w:rsidRDefault="00C6257E" w:rsidP="00CC16DB">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FE0532" w:rsidRPr="003234C5" w14:paraId="4004E014" w14:textId="77777777" w:rsidTr="003A2089">
        <w:trPr>
          <w:trHeight w:val="170"/>
          <w:jc w:val="center"/>
        </w:trPr>
        <w:tc>
          <w:tcPr>
            <w:tcW w:w="9351" w:type="dxa"/>
            <w:gridSpan w:val="5"/>
            <w:tcBorders>
              <w:top w:val="single" w:sz="4" w:space="0" w:color="auto"/>
            </w:tcBorders>
            <w:shd w:val="clear" w:color="auto" w:fill="FFFFFF"/>
            <w:vAlign w:val="center"/>
          </w:tcPr>
          <w:p w14:paraId="61A2DCFE" w14:textId="7A566EBD" w:rsidR="00FE0532" w:rsidRPr="003234C5" w:rsidRDefault="00FE0532" w:rsidP="00FE0532">
            <w:pPr>
              <w:spacing w:after="0"/>
              <w:rPr>
                <w:rFonts w:ascii="Arial" w:hAnsi="Arial" w:cs="Arial"/>
                <w:b/>
                <w:sz w:val="20"/>
                <w:szCs w:val="20"/>
              </w:rPr>
            </w:pPr>
            <w:r w:rsidRPr="003234C5">
              <w:rPr>
                <w:rFonts w:ascii="Arial" w:hAnsi="Arial" w:cs="Arial"/>
                <w:b/>
                <w:sz w:val="20"/>
                <w:szCs w:val="20"/>
              </w:rPr>
              <w:t>Aplicações Financeiras Circulante</w:t>
            </w:r>
          </w:p>
        </w:tc>
      </w:tr>
      <w:tr w:rsidR="00200682" w:rsidRPr="003234C5" w14:paraId="251C559F" w14:textId="77777777" w:rsidTr="00CC16DB">
        <w:trPr>
          <w:trHeight w:val="170"/>
          <w:jc w:val="center"/>
        </w:trPr>
        <w:tc>
          <w:tcPr>
            <w:tcW w:w="2547" w:type="dxa"/>
            <w:tcBorders>
              <w:bottom w:val="single" w:sz="4" w:space="0" w:color="auto"/>
            </w:tcBorders>
            <w:shd w:val="clear" w:color="auto" w:fill="FFFFFF"/>
            <w:vAlign w:val="center"/>
          </w:tcPr>
          <w:p w14:paraId="16153702" w14:textId="1F4083B6" w:rsidR="00200682" w:rsidRPr="003234C5" w:rsidRDefault="00200682" w:rsidP="00E84342">
            <w:pPr>
              <w:spacing w:after="0"/>
              <w:rPr>
                <w:rFonts w:ascii="Arial" w:hAnsi="Arial" w:cs="Arial"/>
                <w:sz w:val="20"/>
                <w:szCs w:val="20"/>
              </w:rPr>
            </w:pPr>
            <w:r w:rsidRPr="003234C5">
              <w:rPr>
                <w:rFonts w:ascii="Arial" w:hAnsi="Arial" w:cs="Arial"/>
                <w:sz w:val="20"/>
                <w:szCs w:val="20"/>
              </w:rPr>
              <w:t>Banco do Nordeste</w:t>
            </w:r>
            <w:r w:rsidR="000E5F8E" w:rsidRPr="003234C5">
              <w:rPr>
                <w:rFonts w:ascii="Arial" w:hAnsi="Arial" w:cs="Arial"/>
                <w:sz w:val="20"/>
                <w:szCs w:val="20"/>
              </w:rPr>
              <w:t xml:space="preserve"> (a)</w:t>
            </w:r>
          </w:p>
        </w:tc>
        <w:tc>
          <w:tcPr>
            <w:tcW w:w="2410" w:type="dxa"/>
            <w:tcBorders>
              <w:bottom w:val="single" w:sz="4" w:space="0" w:color="auto"/>
            </w:tcBorders>
            <w:shd w:val="clear" w:color="auto" w:fill="FFFFFF"/>
            <w:vAlign w:val="center"/>
          </w:tcPr>
          <w:p w14:paraId="46EC161A" w14:textId="01059BDE" w:rsidR="00200682" w:rsidRPr="003234C5" w:rsidRDefault="00C43855" w:rsidP="00E84342">
            <w:pPr>
              <w:spacing w:after="0"/>
              <w:rPr>
                <w:rFonts w:ascii="Arial" w:hAnsi="Arial" w:cs="Arial"/>
                <w:sz w:val="20"/>
                <w:szCs w:val="20"/>
              </w:rPr>
            </w:pPr>
            <w:r>
              <w:rPr>
                <w:rFonts w:ascii="Arial" w:hAnsi="Arial" w:cs="Arial"/>
                <w:sz w:val="20"/>
                <w:szCs w:val="20"/>
              </w:rPr>
              <w:t xml:space="preserve">                </w:t>
            </w:r>
            <w:r w:rsidR="00200682" w:rsidRPr="003234C5">
              <w:rPr>
                <w:rFonts w:ascii="Arial" w:hAnsi="Arial" w:cs="Arial"/>
                <w:sz w:val="20"/>
                <w:szCs w:val="20"/>
              </w:rPr>
              <w:t>CDB</w:t>
            </w:r>
          </w:p>
        </w:tc>
        <w:tc>
          <w:tcPr>
            <w:tcW w:w="1842" w:type="dxa"/>
            <w:tcBorders>
              <w:bottom w:val="single" w:sz="4" w:space="0" w:color="auto"/>
            </w:tcBorders>
            <w:shd w:val="clear" w:color="auto" w:fill="FFFFFF"/>
            <w:vAlign w:val="center"/>
          </w:tcPr>
          <w:p w14:paraId="6A18BD22" w14:textId="77777777" w:rsidR="00200682" w:rsidRPr="003234C5" w:rsidRDefault="00200682" w:rsidP="00E84342">
            <w:pPr>
              <w:spacing w:after="0"/>
              <w:rPr>
                <w:rFonts w:ascii="Arial" w:hAnsi="Arial" w:cs="Arial"/>
                <w:sz w:val="20"/>
                <w:szCs w:val="20"/>
              </w:rPr>
            </w:pPr>
            <w:r w:rsidRPr="003234C5">
              <w:rPr>
                <w:rFonts w:ascii="Arial" w:hAnsi="Arial" w:cs="Arial"/>
                <w:sz w:val="20"/>
                <w:szCs w:val="20"/>
              </w:rPr>
              <w:t>100% do CDI</w:t>
            </w:r>
          </w:p>
        </w:tc>
        <w:tc>
          <w:tcPr>
            <w:tcW w:w="1276" w:type="dxa"/>
            <w:tcBorders>
              <w:bottom w:val="single" w:sz="4" w:space="0" w:color="auto"/>
            </w:tcBorders>
            <w:shd w:val="clear" w:color="auto" w:fill="FFFFFF"/>
          </w:tcPr>
          <w:p w14:paraId="521CAB73" w14:textId="36B7B48A" w:rsidR="00200682" w:rsidRPr="003234C5" w:rsidRDefault="00B64882" w:rsidP="00CC16DB">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w:t>
            </w:r>
          </w:p>
        </w:tc>
        <w:tc>
          <w:tcPr>
            <w:tcW w:w="1276" w:type="dxa"/>
            <w:tcBorders>
              <w:bottom w:val="single" w:sz="4" w:space="0" w:color="auto"/>
            </w:tcBorders>
            <w:shd w:val="clear" w:color="auto" w:fill="FFFFFF"/>
          </w:tcPr>
          <w:p w14:paraId="30EA3C69" w14:textId="11F72DAE" w:rsidR="00200682" w:rsidRPr="003234C5" w:rsidRDefault="00CC16DB" w:rsidP="00E84342">
            <w:pPr>
              <w:spacing w:after="0"/>
              <w:jc w:val="right"/>
              <w:rPr>
                <w:rFonts w:ascii="Arial" w:hAnsi="Arial" w:cs="Arial"/>
                <w:sz w:val="20"/>
                <w:szCs w:val="20"/>
              </w:rPr>
            </w:pPr>
            <w:r w:rsidRPr="003234C5">
              <w:rPr>
                <w:rFonts w:ascii="Arial" w:hAnsi="Arial" w:cs="Arial"/>
                <w:sz w:val="20"/>
                <w:szCs w:val="20"/>
              </w:rPr>
              <w:t>4.684</w:t>
            </w:r>
          </w:p>
        </w:tc>
      </w:tr>
      <w:tr w:rsidR="00200682" w:rsidRPr="003234C5" w14:paraId="6FC1E18C" w14:textId="77777777" w:rsidTr="00CC16DB">
        <w:trPr>
          <w:trHeight w:val="170"/>
          <w:jc w:val="center"/>
        </w:trPr>
        <w:tc>
          <w:tcPr>
            <w:tcW w:w="6799" w:type="dxa"/>
            <w:gridSpan w:val="3"/>
            <w:shd w:val="clear" w:color="auto" w:fill="BFBFBF"/>
            <w:vAlign w:val="center"/>
          </w:tcPr>
          <w:p w14:paraId="4B0D878F" w14:textId="77777777" w:rsidR="00200682" w:rsidRPr="003234C5" w:rsidRDefault="00200682" w:rsidP="00E8434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 DE APLICAÇÕES FINANCEIRAS</w:t>
            </w:r>
          </w:p>
        </w:tc>
        <w:tc>
          <w:tcPr>
            <w:tcW w:w="1276" w:type="dxa"/>
            <w:shd w:val="clear" w:color="auto" w:fill="BFBFBF"/>
          </w:tcPr>
          <w:p w14:paraId="611647C6" w14:textId="5DE6C9AC" w:rsidR="00200682" w:rsidRPr="003234C5" w:rsidRDefault="00537A70" w:rsidP="006B2C4B">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w:t>
            </w:r>
          </w:p>
        </w:tc>
        <w:tc>
          <w:tcPr>
            <w:tcW w:w="1276" w:type="dxa"/>
            <w:shd w:val="clear" w:color="auto" w:fill="BFBFBF"/>
          </w:tcPr>
          <w:p w14:paraId="2ECC5411" w14:textId="15777F6E" w:rsidR="00200682" w:rsidRPr="003234C5" w:rsidRDefault="00CC16DB" w:rsidP="00E84342">
            <w:pPr>
              <w:spacing w:after="0"/>
              <w:jc w:val="right"/>
              <w:rPr>
                <w:rFonts w:ascii="Arial" w:hAnsi="Arial" w:cs="Arial"/>
                <w:b/>
                <w:sz w:val="20"/>
                <w:szCs w:val="20"/>
              </w:rPr>
            </w:pPr>
            <w:r w:rsidRPr="003234C5">
              <w:rPr>
                <w:rFonts w:ascii="Arial" w:hAnsi="Arial" w:cs="Arial"/>
                <w:b/>
                <w:sz w:val="20"/>
                <w:szCs w:val="20"/>
              </w:rPr>
              <w:t>4.684</w:t>
            </w:r>
          </w:p>
        </w:tc>
      </w:tr>
    </w:tbl>
    <w:p w14:paraId="7A3057D1" w14:textId="0A267344" w:rsidR="000E5F8E" w:rsidRPr="003234C5" w:rsidRDefault="000E5F8E" w:rsidP="00200682">
      <w:pPr>
        <w:spacing w:after="0"/>
        <w:jc w:val="both"/>
        <w:rPr>
          <w:rFonts w:ascii="Arial" w:hAnsi="Arial" w:cs="Arial"/>
          <w:sz w:val="24"/>
          <w:szCs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410"/>
        <w:gridCol w:w="1837"/>
        <w:gridCol w:w="1281"/>
        <w:gridCol w:w="1271"/>
      </w:tblGrid>
      <w:tr w:rsidR="006C2B8C" w:rsidRPr="00A228B6" w14:paraId="7418710D" w14:textId="77777777" w:rsidTr="00745611">
        <w:trPr>
          <w:trHeight w:val="227"/>
          <w:jc w:val="center"/>
        </w:trPr>
        <w:tc>
          <w:tcPr>
            <w:tcW w:w="2552" w:type="dxa"/>
            <w:shd w:val="clear" w:color="auto" w:fill="C0C0C0"/>
            <w:vAlign w:val="center"/>
          </w:tcPr>
          <w:p w14:paraId="7CA29EFB" w14:textId="77777777" w:rsidR="006C2B8C" w:rsidRPr="00A228B6" w:rsidRDefault="006C2B8C" w:rsidP="00DB7AC8">
            <w:pPr>
              <w:autoSpaceDE w:val="0"/>
              <w:autoSpaceDN w:val="0"/>
              <w:adjustRightInd w:val="0"/>
              <w:spacing w:after="0"/>
              <w:jc w:val="both"/>
              <w:rPr>
                <w:rFonts w:ascii="Arial" w:hAnsi="Arial" w:cs="Arial"/>
                <w:b/>
                <w:sz w:val="20"/>
                <w:szCs w:val="20"/>
              </w:rPr>
            </w:pPr>
            <w:r w:rsidRPr="00A228B6">
              <w:rPr>
                <w:rFonts w:ascii="Arial" w:hAnsi="Arial" w:cs="Arial"/>
                <w:b/>
                <w:sz w:val="20"/>
                <w:szCs w:val="20"/>
              </w:rPr>
              <w:t>DESCRIÇÃO</w:t>
            </w:r>
          </w:p>
        </w:tc>
        <w:tc>
          <w:tcPr>
            <w:tcW w:w="2410" w:type="dxa"/>
            <w:shd w:val="clear" w:color="auto" w:fill="C0C0C0"/>
          </w:tcPr>
          <w:p w14:paraId="05BA0BC8" w14:textId="77777777" w:rsidR="006C2B8C" w:rsidRPr="00A228B6" w:rsidRDefault="006C2B8C" w:rsidP="00DB7AC8">
            <w:pPr>
              <w:spacing w:after="0"/>
              <w:jc w:val="center"/>
              <w:rPr>
                <w:rFonts w:ascii="Arial" w:hAnsi="Arial" w:cs="Arial"/>
                <w:b/>
                <w:bCs/>
                <w:color w:val="000000"/>
                <w:sz w:val="20"/>
                <w:szCs w:val="20"/>
              </w:rPr>
            </w:pPr>
            <w:r w:rsidRPr="00A228B6">
              <w:rPr>
                <w:rFonts w:ascii="Arial" w:hAnsi="Arial" w:cs="Arial"/>
                <w:b/>
                <w:bCs/>
                <w:color w:val="000000"/>
                <w:sz w:val="20"/>
                <w:szCs w:val="20"/>
              </w:rPr>
              <w:t>TIPO DE APLICAÇÃO</w:t>
            </w:r>
          </w:p>
        </w:tc>
        <w:tc>
          <w:tcPr>
            <w:tcW w:w="1837" w:type="dxa"/>
            <w:shd w:val="clear" w:color="auto" w:fill="C0C0C0"/>
          </w:tcPr>
          <w:p w14:paraId="4D62B03A" w14:textId="77777777" w:rsidR="006C2B8C" w:rsidRPr="00A228B6" w:rsidRDefault="006C2B8C" w:rsidP="00DB7AC8">
            <w:pPr>
              <w:spacing w:after="0"/>
              <w:jc w:val="center"/>
              <w:rPr>
                <w:rFonts w:ascii="Arial" w:hAnsi="Arial" w:cs="Arial"/>
                <w:b/>
                <w:bCs/>
                <w:color w:val="000000"/>
                <w:sz w:val="20"/>
                <w:szCs w:val="20"/>
              </w:rPr>
            </w:pPr>
            <w:r w:rsidRPr="00A228B6">
              <w:rPr>
                <w:rFonts w:ascii="Arial" w:hAnsi="Arial" w:cs="Arial"/>
                <w:b/>
                <w:bCs/>
                <w:color w:val="000000"/>
                <w:sz w:val="20"/>
                <w:szCs w:val="20"/>
              </w:rPr>
              <w:t>REMUNERAÇÃO</w:t>
            </w:r>
          </w:p>
        </w:tc>
        <w:tc>
          <w:tcPr>
            <w:tcW w:w="1281" w:type="dxa"/>
            <w:shd w:val="clear" w:color="auto" w:fill="C0C0C0"/>
            <w:vAlign w:val="bottom"/>
          </w:tcPr>
          <w:p w14:paraId="5E0F803A" w14:textId="57406C6E" w:rsidR="006C2B8C" w:rsidRPr="00A228B6" w:rsidRDefault="006C2B8C" w:rsidP="00DB7AC8">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3C7CC5">
              <w:rPr>
                <w:rFonts w:ascii="Arial" w:hAnsi="Arial" w:cs="Arial"/>
                <w:b/>
                <w:bCs/>
                <w:color w:val="000000"/>
                <w:sz w:val="20"/>
                <w:szCs w:val="20"/>
              </w:rPr>
              <w:t>9</w:t>
            </w:r>
          </w:p>
        </w:tc>
        <w:tc>
          <w:tcPr>
            <w:tcW w:w="1271" w:type="dxa"/>
            <w:shd w:val="clear" w:color="auto" w:fill="C0C0C0"/>
            <w:vAlign w:val="bottom"/>
          </w:tcPr>
          <w:p w14:paraId="13B72523" w14:textId="786E2CDA" w:rsidR="006C2B8C" w:rsidRPr="00A228B6" w:rsidRDefault="006C2B8C" w:rsidP="00DB7AC8">
            <w:pPr>
              <w:spacing w:after="0"/>
              <w:jc w:val="center"/>
              <w:rPr>
                <w:rFonts w:ascii="Arial" w:hAnsi="Arial" w:cs="Arial"/>
                <w:b/>
                <w:bCs/>
                <w:color w:val="000000"/>
                <w:sz w:val="20"/>
                <w:szCs w:val="20"/>
              </w:rPr>
            </w:pPr>
            <w:r w:rsidRPr="00A228B6">
              <w:rPr>
                <w:rFonts w:ascii="Arial" w:hAnsi="Arial" w:cs="Arial"/>
                <w:b/>
                <w:bCs/>
                <w:color w:val="000000"/>
                <w:sz w:val="20"/>
                <w:szCs w:val="20"/>
              </w:rPr>
              <w:t>201</w:t>
            </w:r>
            <w:r w:rsidR="003C7CC5">
              <w:rPr>
                <w:rFonts w:ascii="Arial" w:hAnsi="Arial" w:cs="Arial"/>
                <w:b/>
                <w:bCs/>
                <w:color w:val="000000"/>
                <w:sz w:val="20"/>
                <w:szCs w:val="20"/>
              </w:rPr>
              <w:t>8</w:t>
            </w:r>
          </w:p>
        </w:tc>
      </w:tr>
      <w:tr w:rsidR="00FE0532" w:rsidRPr="00A228B6" w14:paraId="5EC6A92E" w14:textId="77777777" w:rsidTr="003A2089">
        <w:trPr>
          <w:trHeight w:val="227"/>
          <w:jc w:val="center"/>
        </w:trPr>
        <w:tc>
          <w:tcPr>
            <w:tcW w:w="9351" w:type="dxa"/>
            <w:gridSpan w:val="5"/>
            <w:tcBorders>
              <w:bottom w:val="single" w:sz="4" w:space="0" w:color="auto"/>
            </w:tcBorders>
            <w:shd w:val="clear" w:color="auto" w:fill="FFFFFF"/>
            <w:vAlign w:val="bottom"/>
          </w:tcPr>
          <w:p w14:paraId="5FE13BF9" w14:textId="2474134B" w:rsidR="00FE0532" w:rsidRPr="00A228B6" w:rsidRDefault="00FE0532" w:rsidP="00FE0532">
            <w:pPr>
              <w:spacing w:after="0"/>
              <w:jc w:val="both"/>
              <w:rPr>
                <w:rFonts w:ascii="Arial" w:hAnsi="Arial" w:cs="Arial"/>
                <w:sz w:val="20"/>
                <w:szCs w:val="20"/>
              </w:rPr>
            </w:pPr>
            <w:r w:rsidRPr="00A228B6">
              <w:rPr>
                <w:rFonts w:ascii="Arial" w:hAnsi="Arial" w:cs="Arial"/>
                <w:b/>
                <w:sz w:val="20"/>
                <w:szCs w:val="20"/>
              </w:rPr>
              <w:t>Aplicações Financeiras</w:t>
            </w:r>
            <w:r>
              <w:rPr>
                <w:rFonts w:ascii="Arial" w:hAnsi="Arial" w:cs="Arial"/>
                <w:b/>
                <w:sz w:val="20"/>
                <w:szCs w:val="20"/>
              </w:rPr>
              <w:t xml:space="preserve"> Não Circulante</w:t>
            </w:r>
          </w:p>
        </w:tc>
      </w:tr>
      <w:tr w:rsidR="006C2B8C" w:rsidRPr="00A228B6" w14:paraId="6B73C148" w14:textId="77777777" w:rsidTr="00745611">
        <w:trPr>
          <w:trHeight w:val="227"/>
          <w:jc w:val="center"/>
        </w:trPr>
        <w:tc>
          <w:tcPr>
            <w:tcW w:w="2552" w:type="dxa"/>
            <w:tcBorders>
              <w:bottom w:val="single" w:sz="4" w:space="0" w:color="auto"/>
            </w:tcBorders>
            <w:shd w:val="clear" w:color="auto" w:fill="FFFFFF"/>
            <w:vAlign w:val="bottom"/>
          </w:tcPr>
          <w:p w14:paraId="06552EDE" w14:textId="77777777" w:rsidR="006C2B8C" w:rsidRPr="00A228B6" w:rsidRDefault="006C2B8C" w:rsidP="00DB7AC8">
            <w:pPr>
              <w:spacing w:after="0"/>
              <w:jc w:val="both"/>
              <w:rPr>
                <w:rFonts w:ascii="Arial" w:hAnsi="Arial" w:cs="Arial"/>
                <w:bCs/>
                <w:sz w:val="20"/>
                <w:szCs w:val="20"/>
              </w:rPr>
            </w:pPr>
            <w:r w:rsidRPr="00A228B6">
              <w:rPr>
                <w:rFonts w:ascii="Arial" w:hAnsi="Arial" w:cs="Arial"/>
                <w:sz w:val="20"/>
                <w:szCs w:val="20"/>
              </w:rPr>
              <w:t>Banco do Nordeste</w:t>
            </w:r>
            <w:r>
              <w:rPr>
                <w:rFonts w:ascii="Arial" w:hAnsi="Arial" w:cs="Arial"/>
                <w:sz w:val="20"/>
                <w:szCs w:val="20"/>
              </w:rPr>
              <w:t xml:space="preserve"> (b)</w:t>
            </w:r>
          </w:p>
        </w:tc>
        <w:tc>
          <w:tcPr>
            <w:tcW w:w="2410" w:type="dxa"/>
            <w:tcBorders>
              <w:bottom w:val="single" w:sz="4" w:space="0" w:color="auto"/>
            </w:tcBorders>
            <w:shd w:val="clear" w:color="auto" w:fill="FFFFFF"/>
          </w:tcPr>
          <w:p w14:paraId="0CF3B65F" w14:textId="77777777" w:rsidR="006C2B8C" w:rsidRPr="00A228B6" w:rsidRDefault="006C2B8C" w:rsidP="00DB7AC8">
            <w:pPr>
              <w:spacing w:after="0"/>
              <w:jc w:val="center"/>
              <w:rPr>
                <w:rFonts w:ascii="Arial" w:hAnsi="Arial" w:cs="Arial"/>
                <w:sz w:val="20"/>
                <w:szCs w:val="20"/>
              </w:rPr>
            </w:pPr>
            <w:r w:rsidRPr="00A228B6">
              <w:rPr>
                <w:rFonts w:ascii="Arial" w:hAnsi="Arial" w:cs="Arial"/>
                <w:sz w:val="20"/>
                <w:szCs w:val="20"/>
              </w:rPr>
              <w:t>CDB</w:t>
            </w:r>
          </w:p>
        </w:tc>
        <w:tc>
          <w:tcPr>
            <w:tcW w:w="1837" w:type="dxa"/>
            <w:tcBorders>
              <w:bottom w:val="single" w:sz="4" w:space="0" w:color="auto"/>
            </w:tcBorders>
            <w:shd w:val="clear" w:color="auto" w:fill="FFFFFF"/>
            <w:vAlign w:val="bottom"/>
          </w:tcPr>
          <w:p w14:paraId="7CA80511" w14:textId="77777777" w:rsidR="006C2B8C" w:rsidRPr="00A228B6" w:rsidRDefault="006C2B8C" w:rsidP="00DB7AC8">
            <w:pPr>
              <w:spacing w:after="0"/>
              <w:jc w:val="center"/>
              <w:rPr>
                <w:rFonts w:ascii="Arial" w:hAnsi="Arial" w:cs="Arial"/>
                <w:sz w:val="20"/>
                <w:szCs w:val="20"/>
              </w:rPr>
            </w:pPr>
            <w:r w:rsidRPr="00EC36FC">
              <w:rPr>
                <w:rFonts w:ascii="Arial" w:hAnsi="Arial" w:cs="Arial"/>
                <w:sz w:val="20"/>
                <w:szCs w:val="20"/>
              </w:rPr>
              <w:t>99% do CDI</w:t>
            </w:r>
          </w:p>
        </w:tc>
        <w:tc>
          <w:tcPr>
            <w:tcW w:w="1281" w:type="dxa"/>
            <w:tcBorders>
              <w:bottom w:val="single" w:sz="4" w:space="0" w:color="auto"/>
            </w:tcBorders>
            <w:shd w:val="clear" w:color="auto" w:fill="FFFFFF"/>
            <w:vAlign w:val="bottom"/>
          </w:tcPr>
          <w:p w14:paraId="54D763F9" w14:textId="62B4C482" w:rsidR="006C2B8C" w:rsidRPr="00A228B6" w:rsidRDefault="0002716D" w:rsidP="00DB7AC8">
            <w:pPr>
              <w:spacing w:after="0"/>
              <w:jc w:val="right"/>
              <w:rPr>
                <w:rFonts w:ascii="Arial" w:hAnsi="Arial" w:cs="Arial"/>
                <w:sz w:val="20"/>
                <w:szCs w:val="20"/>
              </w:rPr>
            </w:pPr>
            <w:r>
              <w:rPr>
                <w:rFonts w:ascii="Arial" w:hAnsi="Arial" w:cs="Arial"/>
                <w:sz w:val="20"/>
                <w:szCs w:val="20"/>
              </w:rPr>
              <w:t>7</w:t>
            </w:r>
            <w:r w:rsidR="006C2B8C" w:rsidRPr="00A228B6">
              <w:rPr>
                <w:rFonts w:ascii="Arial" w:hAnsi="Arial" w:cs="Arial"/>
                <w:sz w:val="20"/>
                <w:szCs w:val="20"/>
              </w:rPr>
              <w:t>.</w:t>
            </w:r>
            <w:r>
              <w:rPr>
                <w:rFonts w:ascii="Arial" w:hAnsi="Arial" w:cs="Arial"/>
                <w:sz w:val="20"/>
                <w:szCs w:val="20"/>
              </w:rPr>
              <w:t>871</w:t>
            </w:r>
          </w:p>
        </w:tc>
        <w:tc>
          <w:tcPr>
            <w:tcW w:w="1271" w:type="dxa"/>
            <w:shd w:val="clear" w:color="auto" w:fill="FFFFFF"/>
          </w:tcPr>
          <w:p w14:paraId="6623189A" w14:textId="04F0104A" w:rsidR="006C2B8C" w:rsidRPr="00A228B6" w:rsidRDefault="006C2B8C" w:rsidP="00DB7AC8">
            <w:pPr>
              <w:spacing w:after="0"/>
              <w:jc w:val="right"/>
              <w:rPr>
                <w:rFonts w:ascii="Arial" w:hAnsi="Arial" w:cs="Arial"/>
                <w:sz w:val="20"/>
                <w:szCs w:val="20"/>
              </w:rPr>
            </w:pPr>
            <w:r w:rsidRPr="00A228B6">
              <w:rPr>
                <w:rFonts w:ascii="Arial" w:hAnsi="Arial" w:cs="Arial"/>
                <w:sz w:val="20"/>
                <w:szCs w:val="20"/>
              </w:rPr>
              <w:t>3.</w:t>
            </w:r>
            <w:r w:rsidR="00A92CCA">
              <w:rPr>
                <w:rFonts w:ascii="Arial" w:hAnsi="Arial" w:cs="Arial"/>
                <w:sz w:val="20"/>
                <w:szCs w:val="20"/>
              </w:rPr>
              <w:t>800</w:t>
            </w:r>
          </w:p>
        </w:tc>
      </w:tr>
      <w:tr w:rsidR="006C2B8C" w:rsidRPr="00A228B6" w14:paraId="45EDB11C" w14:textId="77777777" w:rsidTr="00745611">
        <w:trPr>
          <w:trHeight w:val="170"/>
          <w:jc w:val="center"/>
        </w:trPr>
        <w:tc>
          <w:tcPr>
            <w:tcW w:w="6799" w:type="dxa"/>
            <w:gridSpan w:val="3"/>
            <w:shd w:val="clear" w:color="auto" w:fill="BFBFBF"/>
            <w:vAlign w:val="center"/>
          </w:tcPr>
          <w:p w14:paraId="52CAD23A" w14:textId="77777777" w:rsidR="006C2B8C" w:rsidRPr="00A228B6" w:rsidRDefault="006C2B8C" w:rsidP="00DB7AC8">
            <w:pPr>
              <w:autoSpaceDE w:val="0"/>
              <w:autoSpaceDN w:val="0"/>
              <w:adjustRightInd w:val="0"/>
              <w:spacing w:after="0"/>
              <w:jc w:val="both"/>
              <w:rPr>
                <w:rFonts w:ascii="Arial" w:hAnsi="Arial" w:cs="Arial"/>
                <w:b/>
                <w:sz w:val="20"/>
                <w:szCs w:val="20"/>
              </w:rPr>
            </w:pPr>
            <w:r w:rsidRPr="00A228B6">
              <w:rPr>
                <w:rFonts w:ascii="Arial" w:hAnsi="Arial" w:cs="Arial"/>
                <w:b/>
                <w:sz w:val="20"/>
                <w:szCs w:val="20"/>
              </w:rPr>
              <w:t>TOTAL DE APLICAÇÕES FINANCEIRAS</w:t>
            </w:r>
          </w:p>
        </w:tc>
        <w:tc>
          <w:tcPr>
            <w:tcW w:w="1281" w:type="dxa"/>
            <w:shd w:val="clear" w:color="auto" w:fill="BFBFBF"/>
          </w:tcPr>
          <w:p w14:paraId="49EFEAA3" w14:textId="15E2125F" w:rsidR="006C2B8C" w:rsidRPr="00A228B6" w:rsidRDefault="002A56C1" w:rsidP="00DB7AC8">
            <w:pPr>
              <w:spacing w:after="0"/>
              <w:jc w:val="right"/>
              <w:rPr>
                <w:rFonts w:ascii="Arial" w:hAnsi="Arial" w:cs="Arial"/>
                <w:b/>
                <w:sz w:val="20"/>
                <w:szCs w:val="20"/>
              </w:rPr>
            </w:pPr>
            <w:r>
              <w:rPr>
                <w:rFonts w:ascii="Arial" w:hAnsi="Arial" w:cs="Arial"/>
                <w:b/>
                <w:sz w:val="20"/>
                <w:szCs w:val="20"/>
              </w:rPr>
              <w:t>7</w:t>
            </w:r>
            <w:r w:rsidRPr="00A228B6">
              <w:rPr>
                <w:rFonts w:ascii="Arial" w:hAnsi="Arial" w:cs="Arial"/>
                <w:b/>
                <w:sz w:val="20"/>
                <w:szCs w:val="20"/>
              </w:rPr>
              <w:t>.8</w:t>
            </w:r>
            <w:r>
              <w:rPr>
                <w:rFonts w:ascii="Arial" w:hAnsi="Arial" w:cs="Arial"/>
                <w:b/>
                <w:sz w:val="20"/>
                <w:szCs w:val="20"/>
              </w:rPr>
              <w:t>71</w:t>
            </w:r>
          </w:p>
        </w:tc>
        <w:tc>
          <w:tcPr>
            <w:tcW w:w="1271" w:type="dxa"/>
            <w:shd w:val="clear" w:color="auto" w:fill="BFBFBF"/>
          </w:tcPr>
          <w:p w14:paraId="14095AD1" w14:textId="3778B159" w:rsidR="006C2B8C" w:rsidRPr="00A228B6" w:rsidRDefault="002A56C1" w:rsidP="00DB7AC8">
            <w:pPr>
              <w:spacing w:after="0"/>
              <w:jc w:val="right"/>
              <w:rPr>
                <w:rFonts w:ascii="Arial" w:hAnsi="Arial" w:cs="Arial"/>
                <w:b/>
                <w:sz w:val="20"/>
                <w:szCs w:val="20"/>
              </w:rPr>
            </w:pPr>
            <w:r w:rsidRPr="00A228B6">
              <w:rPr>
                <w:rFonts w:ascii="Arial" w:hAnsi="Arial" w:cs="Arial"/>
                <w:b/>
                <w:sz w:val="20"/>
                <w:szCs w:val="20"/>
              </w:rPr>
              <w:t>3.800</w:t>
            </w:r>
          </w:p>
        </w:tc>
      </w:tr>
    </w:tbl>
    <w:p w14:paraId="7F8661AC" w14:textId="77777777" w:rsidR="000E5F8E" w:rsidRPr="003234C5" w:rsidRDefault="000E5F8E" w:rsidP="000E5F8E">
      <w:pPr>
        <w:widowControl w:val="0"/>
        <w:ind w:right="50"/>
        <w:jc w:val="both"/>
        <w:rPr>
          <w:rFonts w:ascii="Arial" w:hAnsi="Arial" w:cs="Arial"/>
          <w:b/>
          <w:sz w:val="24"/>
          <w:szCs w:val="24"/>
        </w:rPr>
      </w:pPr>
    </w:p>
    <w:p w14:paraId="0B5440C4" w14:textId="78D841B6" w:rsidR="000E5F8E" w:rsidRPr="003234C5" w:rsidRDefault="000E5F8E" w:rsidP="000E5F8E">
      <w:pPr>
        <w:pStyle w:val="PargrafodaLista"/>
        <w:numPr>
          <w:ilvl w:val="0"/>
          <w:numId w:val="41"/>
        </w:numPr>
        <w:tabs>
          <w:tab w:val="left" w:pos="284"/>
          <w:tab w:val="left" w:pos="567"/>
        </w:tabs>
        <w:ind w:left="284" w:hanging="284"/>
        <w:jc w:val="both"/>
        <w:rPr>
          <w:rFonts w:ascii="Arial" w:hAnsi="Arial" w:cs="Arial"/>
        </w:rPr>
      </w:pPr>
      <w:r w:rsidRPr="003234C5">
        <w:rPr>
          <w:rFonts w:ascii="Arial" w:hAnsi="Arial" w:cs="Arial"/>
        </w:rPr>
        <w:t xml:space="preserve">Esta rubrica registra as aplicações financeiras de curto prazo cuja data de liquidez pactuada entre a companhia e as instituições financeiras é superior a três meses e </w:t>
      </w:r>
      <w:r w:rsidR="00CC4E63" w:rsidRPr="003234C5">
        <w:rPr>
          <w:rFonts w:ascii="Arial" w:hAnsi="Arial" w:cs="Arial"/>
        </w:rPr>
        <w:t>inferior a 12 meses.</w:t>
      </w:r>
      <w:r w:rsidR="002C5434" w:rsidRPr="003234C5">
        <w:rPr>
          <w:rFonts w:ascii="Arial" w:hAnsi="Arial" w:cs="Arial"/>
        </w:rPr>
        <w:t xml:space="preserve"> A aplicação existente em 31 de dezembro de 2018, foi totalmente resgatada no primeiro semestre de 2019.</w:t>
      </w:r>
    </w:p>
    <w:p w14:paraId="7955C003" w14:textId="77777777" w:rsidR="00DE5CEC" w:rsidRPr="003234C5" w:rsidRDefault="00DE5CEC" w:rsidP="00DE5CEC">
      <w:pPr>
        <w:pStyle w:val="PargrafodaLista"/>
        <w:tabs>
          <w:tab w:val="left" w:pos="284"/>
          <w:tab w:val="left" w:pos="567"/>
        </w:tabs>
        <w:ind w:left="284"/>
        <w:jc w:val="both"/>
        <w:rPr>
          <w:rFonts w:ascii="Arial" w:hAnsi="Arial" w:cs="Arial"/>
        </w:rPr>
      </w:pPr>
    </w:p>
    <w:p w14:paraId="60C1B72F" w14:textId="2872439C" w:rsidR="008B5CDD" w:rsidRPr="008C71D1" w:rsidRDefault="000E5F8E" w:rsidP="008C71D1">
      <w:pPr>
        <w:pStyle w:val="PargrafodaLista"/>
        <w:numPr>
          <w:ilvl w:val="0"/>
          <w:numId w:val="41"/>
        </w:numPr>
        <w:tabs>
          <w:tab w:val="left" w:pos="284"/>
          <w:tab w:val="left" w:pos="567"/>
        </w:tabs>
        <w:ind w:left="284" w:hanging="284"/>
        <w:jc w:val="both"/>
        <w:rPr>
          <w:rFonts w:ascii="Arial" w:hAnsi="Arial" w:cs="Arial"/>
          <w:sz w:val="24"/>
          <w:szCs w:val="24"/>
        </w:rPr>
      </w:pPr>
      <w:r w:rsidRPr="003234C5">
        <w:rPr>
          <w:rFonts w:ascii="Arial" w:hAnsi="Arial" w:cs="Arial"/>
        </w:rPr>
        <w:t xml:space="preserve">Em 20 de agosto de 2014, a CEGÁS assinou contrato de número </w:t>
      </w:r>
      <w:r w:rsidRPr="003234C5">
        <w:rPr>
          <w:rFonts w:ascii="Arial" w:hAnsi="Arial" w:cs="Arial"/>
          <w:bCs/>
        </w:rPr>
        <w:t>16.2014.6002.16151,</w:t>
      </w:r>
      <w:r w:rsidRPr="003234C5">
        <w:rPr>
          <w:rFonts w:ascii="Arial" w:hAnsi="Arial" w:cs="Arial"/>
        </w:rPr>
        <w:t xml:space="preserve"> </w:t>
      </w:r>
      <w:r w:rsidRPr="003234C5">
        <w:rPr>
          <w:rFonts w:ascii="Arial" w:hAnsi="Arial" w:cs="Arial"/>
          <w:bCs/>
        </w:rPr>
        <w:t>r</w:t>
      </w:r>
      <w:r w:rsidRPr="003234C5">
        <w:rPr>
          <w:rFonts w:ascii="Arial" w:hAnsi="Arial" w:cs="Arial"/>
        </w:rPr>
        <w:t>eferente ao financiamento obtido junto ao Banco do Nordeste do Brasil, para construção e montagem voltado a expansão da rede de gasodutos da Companhia. A cláusula 20ª do contrato exige uma garantia complementar na forma de uma aplicação financeira que deverá ser mantida por todo o prazo contratual, com data prevista de término em 20 de agosto de 2024.</w:t>
      </w:r>
      <w:r w:rsidR="00A263F8" w:rsidRPr="003234C5">
        <w:rPr>
          <w:rFonts w:ascii="Arial" w:hAnsi="Arial" w:cs="Arial"/>
        </w:rPr>
        <w:t xml:space="preserve"> Devido ao remanejamento do tipo de garantia do referido financiamento, em 18 de julho de 2019 a CEGÁS realizou uma aplicação adicional para compensar a redução da garantia de fiança.</w:t>
      </w:r>
    </w:p>
    <w:p w14:paraId="65D89B52" w14:textId="531EA285" w:rsidR="00077403" w:rsidRPr="003234C5" w:rsidRDefault="00200682" w:rsidP="00200682">
      <w:pPr>
        <w:widowControl w:val="0"/>
        <w:ind w:right="50"/>
        <w:jc w:val="both"/>
        <w:rPr>
          <w:rFonts w:ascii="Arial" w:hAnsi="Arial" w:cs="Arial"/>
        </w:rPr>
      </w:pPr>
      <w:r w:rsidRPr="003234C5">
        <w:rPr>
          <w:rFonts w:ascii="Arial" w:hAnsi="Arial" w:cs="Arial"/>
          <w:b/>
        </w:rPr>
        <w:t xml:space="preserve">NOTA </w:t>
      </w:r>
      <w:r w:rsidR="00176863" w:rsidRPr="003234C5">
        <w:rPr>
          <w:rFonts w:ascii="Arial" w:hAnsi="Arial" w:cs="Arial"/>
          <w:b/>
        </w:rPr>
        <w:t>9</w:t>
      </w:r>
      <w:r w:rsidRPr="003234C5">
        <w:rPr>
          <w:rFonts w:ascii="Arial" w:hAnsi="Arial" w:cs="Arial"/>
          <w:b/>
        </w:rPr>
        <w:t xml:space="preserve">. CONTAS A RECEBER DE CLIENTES </w:t>
      </w:r>
      <w:bookmarkStart w:id="5" w:name="OLE_LINK224"/>
      <w:bookmarkStart w:id="6" w:name="OLE_LINK225"/>
    </w:p>
    <w:p w14:paraId="5DEBB6DB" w14:textId="5F40DF91" w:rsidR="00562777" w:rsidRPr="003234C5" w:rsidRDefault="00014095" w:rsidP="00562777">
      <w:pPr>
        <w:spacing w:after="0"/>
        <w:jc w:val="both"/>
        <w:rPr>
          <w:rFonts w:ascii="Arial" w:hAnsi="Arial" w:cs="Arial"/>
        </w:rPr>
      </w:pPr>
      <w:r w:rsidRPr="003234C5">
        <w:rPr>
          <w:rFonts w:ascii="Arial" w:hAnsi="Arial" w:cs="Arial"/>
        </w:rPr>
        <w:t>A</w:t>
      </w:r>
      <w:r w:rsidR="001B31DE" w:rsidRPr="003234C5">
        <w:rPr>
          <w:rFonts w:ascii="Arial" w:hAnsi="Arial" w:cs="Arial"/>
        </w:rPr>
        <w:t xml:space="preserve"> Companhia</w:t>
      </w:r>
      <w:r w:rsidR="00965B87" w:rsidRPr="003234C5">
        <w:rPr>
          <w:rFonts w:ascii="Arial" w:hAnsi="Arial" w:cs="Arial"/>
        </w:rPr>
        <w:t>,</w:t>
      </w:r>
      <w:r w:rsidR="001B31DE" w:rsidRPr="003234C5">
        <w:rPr>
          <w:rFonts w:ascii="Arial" w:hAnsi="Arial" w:cs="Arial"/>
        </w:rPr>
        <w:t xml:space="preserve"> seguindo as melhores práticas de governança, bem como</w:t>
      </w:r>
      <w:r w:rsidR="00756CE0" w:rsidRPr="003234C5">
        <w:rPr>
          <w:rFonts w:ascii="Arial" w:hAnsi="Arial" w:cs="Arial"/>
        </w:rPr>
        <w:t xml:space="preserve"> a</w:t>
      </w:r>
      <w:r w:rsidR="001B31DE" w:rsidRPr="003234C5">
        <w:rPr>
          <w:rFonts w:ascii="Arial" w:hAnsi="Arial" w:cs="Arial"/>
        </w:rPr>
        <w:t xml:space="preserve"> NBC TG Nº </w:t>
      </w:r>
      <w:r w:rsidR="00564CF9" w:rsidRPr="003234C5">
        <w:rPr>
          <w:rFonts w:ascii="Arial" w:hAnsi="Arial" w:cs="Arial"/>
        </w:rPr>
        <w:t>05 (R3)</w:t>
      </w:r>
      <w:r w:rsidR="001B31DE" w:rsidRPr="003234C5">
        <w:rPr>
          <w:rFonts w:ascii="Arial" w:hAnsi="Arial" w:cs="Arial"/>
        </w:rPr>
        <w:t xml:space="preserve">, </w:t>
      </w:r>
      <w:r w:rsidR="00D93138" w:rsidRPr="003234C5">
        <w:rPr>
          <w:rFonts w:ascii="Arial" w:hAnsi="Arial" w:cs="Arial"/>
        </w:rPr>
        <w:t>segregou d</w:t>
      </w:r>
      <w:r w:rsidR="003A4EC4" w:rsidRPr="003234C5">
        <w:rPr>
          <w:rFonts w:ascii="Arial" w:hAnsi="Arial" w:cs="Arial"/>
        </w:rPr>
        <w:t xml:space="preserve">o contas a receber de clientes </w:t>
      </w:r>
      <w:r w:rsidR="00D93138" w:rsidRPr="003234C5">
        <w:rPr>
          <w:rFonts w:ascii="Arial" w:hAnsi="Arial" w:cs="Arial"/>
        </w:rPr>
        <w:t xml:space="preserve">os montantes </w:t>
      </w:r>
      <w:r w:rsidR="00756CE0" w:rsidRPr="003234C5">
        <w:rPr>
          <w:rFonts w:ascii="Arial" w:hAnsi="Arial" w:cs="Arial"/>
        </w:rPr>
        <w:t>obtidos</w:t>
      </w:r>
      <w:r w:rsidR="003A4EC4" w:rsidRPr="003234C5">
        <w:rPr>
          <w:rFonts w:ascii="Arial" w:hAnsi="Arial" w:cs="Arial"/>
        </w:rPr>
        <w:t xml:space="preserve"> </w:t>
      </w:r>
      <w:r w:rsidR="00CD207A" w:rsidRPr="003234C5">
        <w:rPr>
          <w:rFonts w:ascii="Arial" w:hAnsi="Arial" w:cs="Arial"/>
        </w:rPr>
        <w:t>com partes</w:t>
      </w:r>
      <w:r w:rsidR="003A4EC4" w:rsidRPr="003234C5">
        <w:rPr>
          <w:rFonts w:ascii="Arial" w:hAnsi="Arial" w:cs="Arial"/>
        </w:rPr>
        <w:t xml:space="preserve"> relacionadas</w:t>
      </w:r>
      <w:r w:rsidR="00562777" w:rsidRPr="003234C5">
        <w:rPr>
          <w:rFonts w:ascii="Arial" w:hAnsi="Arial" w:cs="Arial"/>
        </w:rPr>
        <w:t>.</w:t>
      </w:r>
      <w:r w:rsidR="002542A4">
        <w:rPr>
          <w:rFonts w:ascii="Arial" w:hAnsi="Arial" w:cs="Arial"/>
        </w:rPr>
        <w:t xml:space="preserve"> Petrobr</w:t>
      </w:r>
      <w:r w:rsidR="00F9195E">
        <w:rPr>
          <w:rFonts w:ascii="Arial" w:hAnsi="Arial" w:cs="Arial"/>
        </w:rPr>
        <w:t>a</w:t>
      </w:r>
      <w:r w:rsidR="0034520F">
        <w:rPr>
          <w:rFonts w:ascii="Arial" w:hAnsi="Arial" w:cs="Arial"/>
        </w:rPr>
        <w:t>s Distribuidora S/A</w:t>
      </w:r>
      <w:r w:rsidR="00F9195E">
        <w:rPr>
          <w:rFonts w:ascii="Arial" w:hAnsi="Arial" w:cs="Arial"/>
        </w:rPr>
        <w:t xml:space="preserve">, foi considerada parte relacionada em 2018, uma vez que era uma subsidiária da </w:t>
      </w:r>
      <w:r w:rsidR="00B25A8B">
        <w:rPr>
          <w:rFonts w:ascii="Arial" w:hAnsi="Arial" w:cs="Arial"/>
        </w:rPr>
        <w:t>Petrobras</w:t>
      </w:r>
      <w:r w:rsidR="00F9195E">
        <w:rPr>
          <w:rFonts w:ascii="Arial" w:hAnsi="Arial" w:cs="Arial"/>
        </w:rPr>
        <w:t xml:space="preserve"> S/A</w:t>
      </w:r>
      <w:r w:rsidR="002416EA">
        <w:rPr>
          <w:rFonts w:ascii="Arial" w:hAnsi="Arial" w:cs="Arial"/>
        </w:rPr>
        <w:t xml:space="preserve">, porém, em 2019, </w:t>
      </w:r>
      <w:r w:rsidR="004A5DB0">
        <w:rPr>
          <w:rFonts w:ascii="Arial" w:hAnsi="Arial" w:cs="Arial"/>
        </w:rPr>
        <w:t xml:space="preserve">parte </w:t>
      </w:r>
      <w:r w:rsidR="00A417DE">
        <w:rPr>
          <w:rFonts w:ascii="Arial" w:hAnsi="Arial" w:cs="Arial"/>
        </w:rPr>
        <w:t>das ações foram vendidas</w:t>
      </w:r>
      <w:r w:rsidR="00156FF2">
        <w:rPr>
          <w:rFonts w:ascii="Arial" w:hAnsi="Arial" w:cs="Arial"/>
        </w:rPr>
        <w:t>,</w:t>
      </w:r>
      <w:r w:rsidR="00A806DD">
        <w:rPr>
          <w:rFonts w:ascii="Arial" w:hAnsi="Arial" w:cs="Arial"/>
        </w:rPr>
        <w:t xml:space="preserve"> </w:t>
      </w:r>
      <w:r w:rsidR="003E0924">
        <w:rPr>
          <w:rFonts w:ascii="Arial" w:hAnsi="Arial" w:cs="Arial"/>
        </w:rPr>
        <w:t xml:space="preserve">e a </w:t>
      </w:r>
      <w:r w:rsidR="001B4DFD">
        <w:rPr>
          <w:rFonts w:ascii="Arial" w:hAnsi="Arial" w:cs="Arial"/>
        </w:rPr>
        <w:t>mesma deixou de ser considerada parte relacionada, uma vez que a</w:t>
      </w:r>
      <w:r w:rsidR="000C7C7E">
        <w:rPr>
          <w:rFonts w:ascii="Arial" w:hAnsi="Arial" w:cs="Arial"/>
        </w:rPr>
        <w:t xml:space="preserve"> </w:t>
      </w:r>
      <w:r w:rsidR="00B25A8B">
        <w:rPr>
          <w:rFonts w:ascii="Arial" w:hAnsi="Arial" w:cs="Arial"/>
        </w:rPr>
        <w:t>Petrobras</w:t>
      </w:r>
      <w:r w:rsidR="009B55E3">
        <w:rPr>
          <w:rFonts w:ascii="Arial" w:hAnsi="Arial" w:cs="Arial"/>
        </w:rPr>
        <w:t xml:space="preserve"> </w:t>
      </w:r>
      <w:r w:rsidR="00587709">
        <w:rPr>
          <w:rFonts w:ascii="Arial" w:hAnsi="Arial" w:cs="Arial"/>
        </w:rPr>
        <w:t>S/A não detém mais o controle</w:t>
      </w:r>
      <w:r w:rsidR="000B3A85">
        <w:rPr>
          <w:rFonts w:ascii="Arial" w:hAnsi="Arial" w:cs="Arial"/>
        </w:rPr>
        <w:t xml:space="preserve">. </w:t>
      </w:r>
    </w:p>
    <w:p w14:paraId="54516E12" w14:textId="77777777" w:rsidR="00D93138" w:rsidRPr="003234C5" w:rsidRDefault="00D93138" w:rsidP="00696768">
      <w:pPr>
        <w:widowControl w:val="0"/>
        <w:spacing w:after="0"/>
        <w:ind w:right="51"/>
        <w:jc w:val="both"/>
        <w:rPr>
          <w:rFonts w:ascii="Arial" w:hAnsi="Arial" w:cs="Arial"/>
        </w:rPr>
      </w:pPr>
    </w:p>
    <w:p w14:paraId="53D409B2" w14:textId="63C22F46" w:rsidR="00562777" w:rsidRPr="003234C5" w:rsidRDefault="002D7D56" w:rsidP="001B31DE">
      <w:pPr>
        <w:widowControl w:val="0"/>
        <w:ind w:right="50"/>
        <w:jc w:val="both"/>
        <w:rPr>
          <w:rFonts w:ascii="Arial" w:hAnsi="Arial" w:cs="Arial"/>
        </w:rPr>
      </w:pPr>
      <w:r w:rsidRPr="003234C5">
        <w:rPr>
          <w:rFonts w:ascii="Arial" w:hAnsi="Arial" w:cs="Arial"/>
        </w:rPr>
        <w:t xml:space="preserve">A Companhia </w:t>
      </w:r>
      <w:r w:rsidR="00F13F0B" w:rsidRPr="003234C5">
        <w:rPr>
          <w:rFonts w:ascii="Arial" w:hAnsi="Arial" w:cs="Arial"/>
        </w:rPr>
        <w:t xml:space="preserve">realizou </w:t>
      </w:r>
      <w:r w:rsidR="00D93138" w:rsidRPr="003234C5">
        <w:rPr>
          <w:rFonts w:ascii="Arial" w:hAnsi="Arial" w:cs="Arial"/>
        </w:rPr>
        <w:t xml:space="preserve">análise dos valores objeto de ações de cobrança judicial e reclassificou para o Não-Circulante os montantes cujas </w:t>
      </w:r>
      <w:r w:rsidR="001B31DE" w:rsidRPr="003234C5">
        <w:rPr>
          <w:rFonts w:ascii="Arial" w:hAnsi="Arial" w:cs="Arial"/>
        </w:rPr>
        <w:t>expectativas de recebimentos ultrapassa</w:t>
      </w:r>
      <w:r w:rsidR="00EC45CE" w:rsidRPr="003234C5">
        <w:rPr>
          <w:rFonts w:ascii="Arial" w:hAnsi="Arial" w:cs="Arial"/>
        </w:rPr>
        <w:t>m</w:t>
      </w:r>
      <w:r w:rsidR="001B31DE" w:rsidRPr="003234C5">
        <w:rPr>
          <w:rFonts w:ascii="Arial" w:hAnsi="Arial" w:cs="Arial"/>
        </w:rPr>
        <w:t xml:space="preserve"> o exercício social</w:t>
      </w:r>
      <w:r w:rsidR="00D93138" w:rsidRPr="003234C5">
        <w:rPr>
          <w:rFonts w:ascii="Arial" w:hAnsi="Arial" w:cs="Arial"/>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gridCol w:w="1843"/>
        <w:gridCol w:w="1559"/>
      </w:tblGrid>
      <w:tr w:rsidR="00E52B67" w:rsidRPr="003234C5" w14:paraId="2ECAEC0E" w14:textId="77777777" w:rsidTr="00371FB1">
        <w:trPr>
          <w:trHeight w:val="227"/>
        </w:trPr>
        <w:tc>
          <w:tcPr>
            <w:tcW w:w="5670" w:type="dxa"/>
            <w:shd w:val="clear" w:color="auto" w:fill="C0C0C0"/>
            <w:vAlign w:val="center"/>
          </w:tcPr>
          <w:p w14:paraId="4EA0EA11" w14:textId="77777777" w:rsidR="008626BF" w:rsidRPr="003234C5" w:rsidRDefault="008626BF" w:rsidP="008626BF">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CIRCULANTE</w:t>
            </w:r>
          </w:p>
        </w:tc>
        <w:tc>
          <w:tcPr>
            <w:tcW w:w="1843" w:type="dxa"/>
            <w:shd w:val="clear" w:color="auto" w:fill="C0C0C0"/>
          </w:tcPr>
          <w:p w14:paraId="0E405BA8" w14:textId="32C80EA6" w:rsidR="008626BF" w:rsidRPr="003234C5" w:rsidRDefault="00C6257E" w:rsidP="008626BF">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559" w:type="dxa"/>
            <w:shd w:val="clear" w:color="auto" w:fill="C0C0C0"/>
            <w:vAlign w:val="center"/>
          </w:tcPr>
          <w:p w14:paraId="5608E876" w14:textId="25D3E09A" w:rsidR="008626BF" w:rsidRPr="003234C5" w:rsidRDefault="00C6257E" w:rsidP="008626BF">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E52B67" w:rsidRPr="003234C5" w14:paraId="4A549727" w14:textId="77777777" w:rsidTr="00371FB1">
        <w:trPr>
          <w:trHeight w:val="227"/>
        </w:trPr>
        <w:tc>
          <w:tcPr>
            <w:tcW w:w="5670" w:type="dxa"/>
            <w:shd w:val="clear" w:color="auto" w:fill="FFFFFF" w:themeFill="background1"/>
            <w:vAlign w:val="bottom"/>
          </w:tcPr>
          <w:p w14:paraId="39CEB239" w14:textId="5AF3D34D" w:rsidR="00335882" w:rsidRPr="003234C5" w:rsidRDefault="00335882" w:rsidP="00335882">
            <w:pPr>
              <w:spacing w:after="0"/>
              <w:jc w:val="both"/>
              <w:rPr>
                <w:rFonts w:ascii="Arial" w:hAnsi="Arial" w:cs="Arial"/>
                <w:sz w:val="20"/>
                <w:szCs w:val="20"/>
              </w:rPr>
            </w:pPr>
            <w:r w:rsidRPr="003234C5">
              <w:rPr>
                <w:rFonts w:ascii="Arial" w:hAnsi="Arial" w:cs="Arial"/>
                <w:sz w:val="20"/>
                <w:szCs w:val="20"/>
              </w:rPr>
              <w:t>Contas a Receber Clientes</w:t>
            </w:r>
          </w:p>
        </w:tc>
        <w:tc>
          <w:tcPr>
            <w:tcW w:w="1843" w:type="dxa"/>
            <w:shd w:val="clear" w:color="auto" w:fill="FFFFFF" w:themeFill="background1"/>
            <w:vAlign w:val="center"/>
          </w:tcPr>
          <w:p w14:paraId="49980614" w14:textId="7415569F" w:rsidR="00335882" w:rsidRPr="003234C5" w:rsidRDefault="5047E5D4" w:rsidP="00335882">
            <w:pPr>
              <w:spacing w:after="0"/>
              <w:jc w:val="right"/>
              <w:rPr>
                <w:rFonts w:ascii="Arial" w:hAnsi="Arial" w:cs="Arial"/>
                <w:sz w:val="20"/>
                <w:szCs w:val="20"/>
              </w:rPr>
            </w:pPr>
            <w:r w:rsidRPr="560654F9">
              <w:rPr>
                <w:rFonts w:ascii="Arial" w:hAnsi="Arial" w:cs="Arial"/>
                <w:sz w:val="20"/>
                <w:szCs w:val="20"/>
              </w:rPr>
              <w:t>71.256</w:t>
            </w:r>
          </w:p>
        </w:tc>
        <w:tc>
          <w:tcPr>
            <w:tcW w:w="1559" w:type="dxa"/>
            <w:shd w:val="clear" w:color="auto" w:fill="FFFFFF" w:themeFill="background1"/>
            <w:vAlign w:val="center"/>
          </w:tcPr>
          <w:p w14:paraId="682E1125" w14:textId="1AFA01E1"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20.005</w:t>
            </w:r>
          </w:p>
        </w:tc>
      </w:tr>
      <w:tr w:rsidR="00E52B67" w:rsidRPr="003234C5" w14:paraId="32116277" w14:textId="77777777" w:rsidTr="00371FB1">
        <w:trPr>
          <w:trHeight w:val="227"/>
        </w:trPr>
        <w:tc>
          <w:tcPr>
            <w:tcW w:w="5670" w:type="dxa"/>
            <w:shd w:val="clear" w:color="auto" w:fill="FFFFFF" w:themeFill="background1"/>
            <w:vAlign w:val="bottom"/>
          </w:tcPr>
          <w:p w14:paraId="2A377D6C" w14:textId="01A3B6B2" w:rsidR="00335882" w:rsidRPr="003234C5" w:rsidRDefault="00335882" w:rsidP="00335882">
            <w:pPr>
              <w:spacing w:after="0"/>
              <w:jc w:val="both"/>
              <w:rPr>
                <w:rFonts w:ascii="Arial" w:hAnsi="Arial" w:cs="Arial"/>
                <w:sz w:val="20"/>
                <w:szCs w:val="20"/>
              </w:rPr>
            </w:pPr>
            <w:r w:rsidRPr="003234C5">
              <w:rPr>
                <w:rFonts w:ascii="Arial" w:hAnsi="Arial" w:cs="Arial"/>
                <w:sz w:val="20"/>
                <w:szCs w:val="20"/>
              </w:rPr>
              <w:t>Contas a Receber com Partes Relacionadas</w:t>
            </w:r>
          </w:p>
        </w:tc>
        <w:tc>
          <w:tcPr>
            <w:tcW w:w="1843" w:type="dxa"/>
            <w:shd w:val="clear" w:color="auto" w:fill="FFFFFF" w:themeFill="background1"/>
            <w:vAlign w:val="center"/>
          </w:tcPr>
          <w:p w14:paraId="2DD3724D" w14:textId="7FEAA1E5" w:rsidR="00335882" w:rsidRPr="003234C5" w:rsidRDefault="3660424D" w:rsidP="00335882">
            <w:pPr>
              <w:spacing w:after="0"/>
              <w:jc w:val="right"/>
              <w:rPr>
                <w:rFonts w:ascii="Arial" w:hAnsi="Arial" w:cs="Arial"/>
                <w:sz w:val="20"/>
                <w:szCs w:val="20"/>
              </w:rPr>
            </w:pPr>
            <w:r w:rsidRPr="560654F9">
              <w:rPr>
                <w:rFonts w:ascii="Arial" w:hAnsi="Arial" w:cs="Arial"/>
                <w:sz w:val="20"/>
                <w:szCs w:val="20"/>
              </w:rPr>
              <w:t>21</w:t>
            </w:r>
          </w:p>
        </w:tc>
        <w:tc>
          <w:tcPr>
            <w:tcW w:w="1559" w:type="dxa"/>
            <w:shd w:val="clear" w:color="auto" w:fill="FFFFFF" w:themeFill="background1"/>
            <w:vAlign w:val="center"/>
          </w:tcPr>
          <w:p w14:paraId="23D4B430" w14:textId="608C75C7"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1.818</w:t>
            </w:r>
          </w:p>
        </w:tc>
      </w:tr>
    </w:tbl>
    <w:p w14:paraId="036EF093" w14:textId="520FF4C5" w:rsidR="001B31DE" w:rsidRPr="003234C5" w:rsidRDefault="001B31DE" w:rsidP="00200682">
      <w:pPr>
        <w:widowControl w:val="0"/>
        <w:ind w:right="50"/>
        <w:jc w:val="both"/>
        <w:rPr>
          <w:rFonts w:ascii="Arial" w:hAnsi="Arial" w:cs="Arial"/>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gridCol w:w="1843"/>
        <w:gridCol w:w="1559"/>
      </w:tblGrid>
      <w:tr w:rsidR="00E52B67" w:rsidRPr="003234C5" w14:paraId="213E22F5" w14:textId="77777777" w:rsidTr="00371FB1">
        <w:trPr>
          <w:trHeight w:val="227"/>
        </w:trPr>
        <w:tc>
          <w:tcPr>
            <w:tcW w:w="5670" w:type="dxa"/>
            <w:shd w:val="clear" w:color="auto" w:fill="C0C0C0"/>
            <w:vAlign w:val="center"/>
          </w:tcPr>
          <w:p w14:paraId="03E9AE1B" w14:textId="780141D2" w:rsidR="008626BF" w:rsidRPr="003234C5" w:rsidRDefault="008626BF" w:rsidP="008626BF">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NÃO CIRCULANTE</w:t>
            </w:r>
          </w:p>
        </w:tc>
        <w:tc>
          <w:tcPr>
            <w:tcW w:w="1843" w:type="dxa"/>
            <w:shd w:val="clear" w:color="auto" w:fill="C0C0C0"/>
          </w:tcPr>
          <w:p w14:paraId="36C8F4C3" w14:textId="14E5CBF4" w:rsidR="008626BF" w:rsidRPr="003234C5" w:rsidRDefault="00C6257E" w:rsidP="008626BF">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559" w:type="dxa"/>
            <w:shd w:val="clear" w:color="auto" w:fill="C0C0C0"/>
            <w:vAlign w:val="center"/>
          </w:tcPr>
          <w:p w14:paraId="5662A418" w14:textId="0AD93870" w:rsidR="008626BF" w:rsidRPr="003234C5" w:rsidRDefault="00C6257E" w:rsidP="008626BF">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E52B67" w:rsidRPr="003234C5" w14:paraId="0A1A0B4C" w14:textId="77777777" w:rsidTr="00371FB1">
        <w:trPr>
          <w:trHeight w:val="227"/>
        </w:trPr>
        <w:tc>
          <w:tcPr>
            <w:tcW w:w="5670" w:type="dxa"/>
            <w:shd w:val="clear" w:color="auto" w:fill="FFFFFF" w:themeFill="background1"/>
            <w:vAlign w:val="bottom"/>
          </w:tcPr>
          <w:p w14:paraId="67CFDC9B" w14:textId="110F6579"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Contas a Receber Clientes</w:t>
            </w:r>
          </w:p>
        </w:tc>
        <w:tc>
          <w:tcPr>
            <w:tcW w:w="1843" w:type="dxa"/>
            <w:shd w:val="clear" w:color="auto" w:fill="FFFFFF" w:themeFill="background1"/>
            <w:vAlign w:val="center"/>
          </w:tcPr>
          <w:p w14:paraId="2C4F0AB7" w14:textId="144267FF" w:rsidR="00491426" w:rsidRPr="003234C5" w:rsidRDefault="0DCB292A" w:rsidP="00491426">
            <w:pPr>
              <w:spacing w:after="0"/>
              <w:jc w:val="right"/>
              <w:rPr>
                <w:rFonts w:ascii="Arial" w:hAnsi="Arial" w:cs="Arial"/>
                <w:sz w:val="20"/>
                <w:szCs w:val="20"/>
              </w:rPr>
            </w:pPr>
            <w:r w:rsidRPr="560654F9">
              <w:rPr>
                <w:rFonts w:ascii="Arial" w:hAnsi="Arial" w:cs="Arial"/>
                <w:sz w:val="20"/>
                <w:szCs w:val="20"/>
              </w:rPr>
              <w:t>23.015</w:t>
            </w:r>
          </w:p>
        </w:tc>
        <w:tc>
          <w:tcPr>
            <w:tcW w:w="1559" w:type="dxa"/>
            <w:shd w:val="clear" w:color="auto" w:fill="FFFFFF" w:themeFill="background1"/>
            <w:vAlign w:val="center"/>
          </w:tcPr>
          <w:p w14:paraId="6F5AD13D" w14:textId="7AB4BF6F" w:rsidR="00491426" w:rsidRPr="003234C5" w:rsidRDefault="00491426" w:rsidP="00491426">
            <w:pPr>
              <w:spacing w:after="0"/>
              <w:jc w:val="right"/>
              <w:rPr>
                <w:rFonts w:ascii="Arial" w:hAnsi="Arial" w:cs="Arial"/>
                <w:sz w:val="20"/>
                <w:szCs w:val="20"/>
                <w:u w:val="single"/>
              </w:rPr>
            </w:pPr>
            <w:r w:rsidRPr="003234C5">
              <w:rPr>
                <w:rFonts w:ascii="Arial" w:hAnsi="Arial" w:cs="Arial"/>
                <w:color w:val="000000"/>
                <w:sz w:val="20"/>
                <w:szCs w:val="20"/>
              </w:rPr>
              <w:t>9.396</w:t>
            </w:r>
          </w:p>
        </w:tc>
      </w:tr>
      <w:tr w:rsidR="00E52B67" w:rsidRPr="003234C5" w14:paraId="5C6D6224" w14:textId="77777777" w:rsidTr="00371FB1">
        <w:trPr>
          <w:trHeight w:val="227"/>
        </w:trPr>
        <w:tc>
          <w:tcPr>
            <w:tcW w:w="5670" w:type="dxa"/>
            <w:shd w:val="clear" w:color="auto" w:fill="FFFFFF" w:themeFill="background1"/>
            <w:vAlign w:val="bottom"/>
          </w:tcPr>
          <w:p w14:paraId="24301916" w14:textId="77777777"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Contas a Receber com Partes Relacionadas</w:t>
            </w:r>
          </w:p>
        </w:tc>
        <w:tc>
          <w:tcPr>
            <w:tcW w:w="1843" w:type="dxa"/>
            <w:shd w:val="clear" w:color="auto" w:fill="FFFFFF" w:themeFill="background1"/>
            <w:vAlign w:val="center"/>
          </w:tcPr>
          <w:p w14:paraId="643F167D" w14:textId="7692777A" w:rsidR="00491426" w:rsidRPr="003234C5" w:rsidRDefault="47E0C724" w:rsidP="00491426">
            <w:pPr>
              <w:spacing w:after="0"/>
              <w:jc w:val="right"/>
              <w:rPr>
                <w:rFonts w:ascii="Arial" w:hAnsi="Arial" w:cs="Arial"/>
                <w:sz w:val="20"/>
                <w:szCs w:val="20"/>
              </w:rPr>
            </w:pPr>
            <w:r w:rsidRPr="560654F9">
              <w:rPr>
                <w:rFonts w:ascii="Arial" w:hAnsi="Arial" w:cs="Arial"/>
                <w:sz w:val="20"/>
                <w:szCs w:val="20"/>
              </w:rPr>
              <w:t>1.110</w:t>
            </w:r>
          </w:p>
        </w:tc>
        <w:tc>
          <w:tcPr>
            <w:tcW w:w="1559" w:type="dxa"/>
            <w:shd w:val="clear" w:color="auto" w:fill="FFFFFF" w:themeFill="background1"/>
            <w:vAlign w:val="center"/>
          </w:tcPr>
          <w:p w14:paraId="634EADC6" w14:textId="64604665"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14.626</w:t>
            </w:r>
          </w:p>
        </w:tc>
      </w:tr>
    </w:tbl>
    <w:p w14:paraId="015D3448" w14:textId="77777777" w:rsidR="00D93138" w:rsidRPr="003234C5" w:rsidRDefault="00D93138" w:rsidP="00200682">
      <w:pPr>
        <w:widowControl w:val="0"/>
        <w:ind w:right="50"/>
        <w:jc w:val="both"/>
        <w:rPr>
          <w:rFonts w:ascii="Arial" w:hAnsi="Arial" w:cs="Arial"/>
          <w:sz w:val="24"/>
          <w:szCs w:val="24"/>
        </w:rPr>
      </w:pPr>
    </w:p>
    <w:p w14:paraId="11B4A719" w14:textId="6B3EE885" w:rsidR="00E9127A" w:rsidRPr="003234C5" w:rsidRDefault="00D93138" w:rsidP="00200682">
      <w:pPr>
        <w:widowControl w:val="0"/>
        <w:ind w:right="50"/>
        <w:jc w:val="both"/>
        <w:rPr>
          <w:rFonts w:ascii="Arial" w:hAnsi="Arial" w:cs="Arial"/>
          <w:b/>
        </w:rPr>
      </w:pPr>
      <w:r w:rsidRPr="003234C5">
        <w:rPr>
          <w:rFonts w:ascii="Arial" w:hAnsi="Arial" w:cs="Arial"/>
        </w:rPr>
        <w:t>Assim</w:t>
      </w:r>
      <w:r w:rsidR="00756CE0" w:rsidRPr="003234C5">
        <w:rPr>
          <w:rFonts w:ascii="Arial" w:hAnsi="Arial" w:cs="Arial"/>
        </w:rPr>
        <w:t>,</w:t>
      </w:r>
      <w:r w:rsidRPr="003234C5">
        <w:rPr>
          <w:rFonts w:ascii="Arial" w:hAnsi="Arial" w:cs="Arial"/>
        </w:rPr>
        <w:t xml:space="preserve"> o </w:t>
      </w:r>
      <w:r w:rsidR="00DE066F" w:rsidRPr="003234C5">
        <w:rPr>
          <w:rFonts w:ascii="Arial" w:hAnsi="Arial" w:cs="Arial"/>
        </w:rPr>
        <w:t>C</w:t>
      </w:r>
      <w:r w:rsidRPr="003234C5">
        <w:rPr>
          <w:rFonts w:ascii="Arial" w:hAnsi="Arial" w:cs="Arial"/>
        </w:rPr>
        <w:t>onta</w:t>
      </w:r>
      <w:r w:rsidR="00756CE0" w:rsidRPr="003234C5">
        <w:rPr>
          <w:rFonts w:ascii="Arial" w:hAnsi="Arial" w:cs="Arial"/>
        </w:rPr>
        <w:t>s</w:t>
      </w:r>
      <w:r w:rsidRPr="003234C5">
        <w:rPr>
          <w:rFonts w:ascii="Arial" w:hAnsi="Arial" w:cs="Arial"/>
        </w:rPr>
        <w:t xml:space="preserve"> a </w:t>
      </w:r>
      <w:r w:rsidR="00DE066F" w:rsidRPr="003234C5">
        <w:rPr>
          <w:rFonts w:ascii="Arial" w:hAnsi="Arial" w:cs="Arial"/>
        </w:rPr>
        <w:t>R</w:t>
      </w:r>
      <w:r w:rsidRPr="003234C5">
        <w:rPr>
          <w:rFonts w:ascii="Arial" w:hAnsi="Arial" w:cs="Arial"/>
        </w:rPr>
        <w:t xml:space="preserve">eceber de clientes </w:t>
      </w:r>
      <w:r w:rsidR="00756CE0" w:rsidRPr="003234C5">
        <w:rPr>
          <w:rFonts w:ascii="Arial" w:hAnsi="Arial" w:cs="Arial"/>
        </w:rPr>
        <w:t xml:space="preserve">no Circulante e Não Circulante </w:t>
      </w:r>
      <w:r w:rsidRPr="003234C5">
        <w:rPr>
          <w:rFonts w:ascii="Arial" w:hAnsi="Arial" w:cs="Arial"/>
        </w:rPr>
        <w:t xml:space="preserve">ficou </w:t>
      </w:r>
      <w:r w:rsidR="00756CE0" w:rsidRPr="003234C5">
        <w:rPr>
          <w:rFonts w:ascii="Arial" w:hAnsi="Arial" w:cs="Arial"/>
        </w:rPr>
        <w:t>evidenciado</w:t>
      </w:r>
      <w:r w:rsidR="00200682" w:rsidRPr="003234C5">
        <w:rPr>
          <w:rFonts w:ascii="Arial" w:hAnsi="Arial" w:cs="Arial"/>
        </w:rPr>
        <w:t xml:space="preserve"> conforme abaixo:</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gridCol w:w="1843"/>
        <w:gridCol w:w="1559"/>
      </w:tblGrid>
      <w:tr w:rsidR="00E52B67" w:rsidRPr="003234C5" w14:paraId="28705B81" w14:textId="77777777" w:rsidTr="00371FB1">
        <w:trPr>
          <w:trHeight w:val="227"/>
        </w:trPr>
        <w:tc>
          <w:tcPr>
            <w:tcW w:w="5670" w:type="dxa"/>
            <w:shd w:val="clear" w:color="auto" w:fill="C0C0C0"/>
            <w:vAlign w:val="center"/>
          </w:tcPr>
          <w:bookmarkEnd w:id="5"/>
          <w:bookmarkEnd w:id="6"/>
          <w:p w14:paraId="2F2B61B3" w14:textId="77777777" w:rsidR="00001AB3" w:rsidRPr="003234C5" w:rsidRDefault="00001AB3" w:rsidP="00001AB3">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CIRCULANTE</w:t>
            </w:r>
          </w:p>
        </w:tc>
        <w:tc>
          <w:tcPr>
            <w:tcW w:w="1843" w:type="dxa"/>
            <w:shd w:val="clear" w:color="auto" w:fill="C0C0C0"/>
          </w:tcPr>
          <w:p w14:paraId="2E4FE4D9" w14:textId="507A0626" w:rsidR="00001AB3" w:rsidRPr="003234C5" w:rsidRDefault="00C6257E" w:rsidP="00001AB3">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559" w:type="dxa"/>
            <w:shd w:val="clear" w:color="auto" w:fill="C0C0C0"/>
            <w:vAlign w:val="center"/>
          </w:tcPr>
          <w:p w14:paraId="4A0B23FC" w14:textId="016F116A" w:rsidR="00001AB3" w:rsidRPr="003234C5" w:rsidRDefault="00C6257E" w:rsidP="00001AB3">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E52B67" w:rsidRPr="003234C5" w14:paraId="518CF493" w14:textId="77777777" w:rsidTr="00371FB1">
        <w:trPr>
          <w:trHeight w:val="227"/>
        </w:trPr>
        <w:tc>
          <w:tcPr>
            <w:tcW w:w="5670" w:type="dxa"/>
            <w:shd w:val="clear" w:color="auto" w:fill="FFFFFF" w:themeFill="background1"/>
            <w:vAlign w:val="center"/>
          </w:tcPr>
          <w:p w14:paraId="79733F59" w14:textId="10FD9437" w:rsidR="00335882" w:rsidRPr="003234C5" w:rsidRDefault="00335882" w:rsidP="00335882">
            <w:pPr>
              <w:spacing w:after="0"/>
              <w:jc w:val="both"/>
              <w:rPr>
                <w:rFonts w:ascii="Arial" w:hAnsi="Arial" w:cs="Arial"/>
                <w:sz w:val="20"/>
                <w:szCs w:val="20"/>
              </w:rPr>
            </w:pPr>
            <w:r w:rsidRPr="003234C5">
              <w:rPr>
                <w:rFonts w:ascii="Arial" w:hAnsi="Arial" w:cs="Arial"/>
                <w:color w:val="000000"/>
                <w:sz w:val="20"/>
                <w:szCs w:val="20"/>
              </w:rPr>
              <w:t>Central Gera. Termel</w:t>
            </w:r>
            <w:r w:rsidR="003A2089">
              <w:rPr>
                <w:rFonts w:ascii="Arial" w:hAnsi="Arial" w:cs="Arial"/>
                <w:color w:val="000000"/>
                <w:sz w:val="20"/>
                <w:szCs w:val="20"/>
              </w:rPr>
              <w:t>é</w:t>
            </w:r>
            <w:r w:rsidRPr="003234C5">
              <w:rPr>
                <w:rFonts w:ascii="Arial" w:hAnsi="Arial" w:cs="Arial"/>
                <w:color w:val="000000"/>
                <w:sz w:val="20"/>
                <w:szCs w:val="20"/>
              </w:rPr>
              <w:t>trica Fortaleza</w:t>
            </w:r>
          </w:p>
        </w:tc>
        <w:tc>
          <w:tcPr>
            <w:tcW w:w="1843" w:type="dxa"/>
            <w:shd w:val="clear" w:color="auto" w:fill="FFFFFF" w:themeFill="background1"/>
            <w:vAlign w:val="center"/>
          </w:tcPr>
          <w:p w14:paraId="55523137" w14:textId="0A2BA570" w:rsidR="00335882" w:rsidRPr="00096A6C" w:rsidRDefault="35D53DA4" w:rsidP="00096A6C">
            <w:pPr>
              <w:suppressAutoHyphens w:val="0"/>
              <w:spacing w:after="0" w:line="240" w:lineRule="auto"/>
              <w:jc w:val="right"/>
              <w:rPr>
                <w:rFonts w:eastAsia="Times New Roman" w:cs="Times New Roman"/>
                <w:color w:val="000000"/>
                <w:kern w:val="0"/>
                <w:lang w:eastAsia="pt-BR"/>
              </w:rPr>
            </w:pPr>
            <w:r w:rsidRPr="560654F9">
              <w:rPr>
                <w:color w:val="000000" w:themeColor="text1"/>
              </w:rPr>
              <w:t xml:space="preserve">           </w:t>
            </w:r>
            <w:r w:rsidR="00B46923" w:rsidRPr="00B46923">
              <w:rPr>
                <w:color w:val="000000" w:themeColor="text1"/>
              </w:rPr>
              <w:t>48</w:t>
            </w:r>
            <w:r w:rsidR="00B46923">
              <w:rPr>
                <w:color w:val="000000" w:themeColor="text1"/>
              </w:rPr>
              <w:t>.</w:t>
            </w:r>
            <w:r w:rsidR="00B46923" w:rsidRPr="00B46923">
              <w:rPr>
                <w:color w:val="000000" w:themeColor="text1"/>
              </w:rPr>
              <w:t>234</w:t>
            </w:r>
          </w:p>
        </w:tc>
        <w:tc>
          <w:tcPr>
            <w:tcW w:w="1559" w:type="dxa"/>
            <w:shd w:val="clear" w:color="auto" w:fill="FFFFFF" w:themeFill="background1"/>
            <w:vAlign w:val="center"/>
          </w:tcPr>
          <w:p w14:paraId="4D36FCCC" w14:textId="6B910083"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w:t>
            </w:r>
          </w:p>
        </w:tc>
      </w:tr>
      <w:tr w:rsidR="00E52B67" w:rsidRPr="003234C5" w14:paraId="0480CFCC" w14:textId="77777777" w:rsidTr="00371FB1">
        <w:trPr>
          <w:trHeight w:val="227"/>
        </w:trPr>
        <w:tc>
          <w:tcPr>
            <w:tcW w:w="5670" w:type="dxa"/>
            <w:shd w:val="clear" w:color="auto" w:fill="FFFFFF" w:themeFill="background1"/>
            <w:vAlign w:val="center"/>
          </w:tcPr>
          <w:p w14:paraId="6324322E" w14:textId="43BFDC18" w:rsidR="00335882" w:rsidRPr="003234C5" w:rsidRDefault="00335882" w:rsidP="00335882">
            <w:pPr>
              <w:spacing w:after="0"/>
              <w:jc w:val="both"/>
              <w:rPr>
                <w:rFonts w:ascii="Arial" w:hAnsi="Arial" w:cs="Arial"/>
                <w:sz w:val="20"/>
                <w:szCs w:val="20"/>
              </w:rPr>
            </w:pPr>
            <w:proofErr w:type="spellStart"/>
            <w:r w:rsidRPr="003234C5">
              <w:rPr>
                <w:rFonts w:ascii="Arial" w:hAnsi="Arial" w:cs="Arial"/>
                <w:color w:val="000000"/>
                <w:sz w:val="20"/>
                <w:szCs w:val="20"/>
              </w:rPr>
              <w:t>Ceramica</w:t>
            </w:r>
            <w:proofErr w:type="spellEnd"/>
            <w:r w:rsidRPr="003234C5">
              <w:rPr>
                <w:rFonts w:ascii="Arial" w:hAnsi="Arial" w:cs="Arial"/>
                <w:color w:val="000000"/>
                <w:sz w:val="20"/>
                <w:szCs w:val="20"/>
              </w:rPr>
              <w:t xml:space="preserve"> Brasileira </w:t>
            </w:r>
            <w:proofErr w:type="spellStart"/>
            <w:r w:rsidRPr="003234C5">
              <w:rPr>
                <w:rFonts w:ascii="Arial" w:hAnsi="Arial" w:cs="Arial"/>
                <w:color w:val="000000"/>
                <w:sz w:val="20"/>
                <w:szCs w:val="20"/>
              </w:rPr>
              <w:t>Cerbras</w:t>
            </w:r>
            <w:proofErr w:type="spellEnd"/>
            <w:r w:rsidRPr="003234C5">
              <w:rPr>
                <w:rFonts w:ascii="Arial" w:hAnsi="Arial" w:cs="Arial"/>
                <w:color w:val="000000"/>
                <w:sz w:val="20"/>
                <w:szCs w:val="20"/>
              </w:rPr>
              <w:t xml:space="preserve"> Ltda</w:t>
            </w:r>
          </w:p>
        </w:tc>
        <w:tc>
          <w:tcPr>
            <w:tcW w:w="1843" w:type="dxa"/>
            <w:shd w:val="clear" w:color="auto" w:fill="FFFFFF" w:themeFill="background1"/>
            <w:vAlign w:val="center"/>
          </w:tcPr>
          <w:p w14:paraId="7EA5E806" w14:textId="02889BD0" w:rsidR="00335882" w:rsidRPr="003234C5" w:rsidRDefault="00096A6C" w:rsidP="00335882">
            <w:pPr>
              <w:spacing w:after="0"/>
              <w:jc w:val="right"/>
              <w:rPr>
                <w:rFonts w:ascii="Arial" w:hAnsi="Arial" w:cs="Arial"/>
                <w:sz w:val="20"/>
                <w:szCs w:val="20"/>
              </w:rPr>
            </w:pPr>
            <w:r>
              <w:rPr>
                <w:rFonts w:ascii="Arial" w:hAnsi="Arial" w:cs="Arial"/>
                <w:sz w:val="20"/>
                <w:szCs w:val="20"/>
              </w:rPr>
              <w:t>2.763</w:t>
            </w:r>
          </w:p>
        </w:tc>
        <w:tc>
          <w:tcPr>
            <w:tcW w:w="1559" w:type="dxa"/>
            <w:shd w:val="clear" w:color="auto" w:fill="FFFFFF" w:themeFill="background1"/>
            <w:vAlign w:val="center"/>
          </w:tcPr>
          <w:p w14:paraId="3DC332CE" w14:textId="4CCAFCD7"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2.580</w:t>
            </w:r>
          </w:p>
        </w:tc>
      </w:tr>
      <w:tr w:rsidR="00E52B67" w:rsidRPr="003234C5" w14:paraId="068CF7F4" w14:textId="77777777" w:rsidTr="00371FB1">
        <w:trPr>
          <w:trHeight w:val="227"/>
        </w:trPr>
        <w:tc>
          <w:tcPr>
            <w:tcW w:w="5670" w:type="dxa"/>
            <w:shd w:val="clear" w:color="auto" w:fill="FFFFFF" w:themeFill="background1"/>
            <w:vAlign w:val="center"/>
          </w:tcPr>
          <w:p w14:paraId="5CB0791C" w14:textId="306F09F6" w:rsidR="00335882" w:rsidRPr="003234C5" w:rsidRDefault="00335882" w:rsidP="00335882">
            <w:pPr>
              <w:spacing w:after="0"/>
              <w:jc w:val="both"/>
              <w:rPr>
                <w:rFonts w:ascii="Arial" w:hAnsi="Arial" w:cs="Arial"/>
                <w:sz w:val="20"/>
                <w:szCs w:val="20"/>
              </w:rPr>
            </w:pPr>
            <w:r w:rsidRPr="003234C5">
              <w:rPr>
                <w:rFonts w:ascii="Arial" w:hAnsi="Arial" w:cs="Arial"/>
                <w:color w:val="000000"/>
                <w:sz w:val="20"/>
                <w:szCs w:val="20"/>
              </w:rPr>
              <w:t xml:space="preserve">Companhia </w:t>
            </w:r>
            <w:proofErr w:type="spellStart"/>
            <w:r w:rsidRPr="003234C5">
              <w:rPr>
                <w:rFonts w:ascii="Arial" w:hAnsi="Arial" w:cs="Arial"/>
                <w:color w:val="000000"/>
                <w:sz w:val="20"/>
                <w:szCs w:val="20"/>
              </w:rPr>
              <w:t>Siderurgica</w:t>
            </w:r>
            <w:proofErr w:type="spellEnd"/>
            <w:r w:rsidRPr="003234C5">
              <w:rPr>
                <w:rFonts w:ascii="Arial" w:hAnsi="Arial" w:cs="Arial"/>
                <w:color w:val="000000"/>
                <w:sz w:val="20"/>
                <w:szCs w:val="20"/>
              </w:rPr>
              <w:t xml:space="preserve"> Do </w:t>
            </w:r>
            <w:proofErr w:type="spellStart"/>
            <w:r w:rsidRPr="003234C5">
              <w:rPr>
                <w:rFonts w:ascii="Arial" w:hAnsi="Arial" w:cs="Arial"/>
                <w:color w:val="000000"/>
                <w:sz w:val="20"/>
                <w:szCs w:val="20"/>
              </w:rPr>
              <w:t>Pecem</w:t>
            </w:r>
            <w:proofErr w:type="spellEnd"/>
          </w:p>
        </w:tc>
        <w:tc>
          <w:tcPr>
            <w:tcW w:w="1843" w:type="dxa"/>
            <w:shd w:val="clear" w:color="auto" w:fill="FFFFFF" w:themeFill="background1"/>
            <w:vAlign w:val="center"/>
          </w:tcPr>
          <w:p w14:paraId="79230341" w14:textId="780AC665" w:rsidR="00335882" w:rsidRPr="003234C5" w:rsidRDefault="00096A6C" w:rsidP="00335882">
            <w:pPr>
              <w:spacing w:after="0"/>
              <w:jc w:val="right"/>
              <w:rPr>
                <w:rFonts w:ascii="Arial" w:hAnsi="Arial" w:cs="Arial"/>
                <w:sz w:val="20"/>
                <w:szCs w:val="20"/>
              </w:rPr>
            </w:pPr>
            <w:r>
              <w:rPr>
                <w:rFonts w:ascii="Arial" w:hAnsi="Arial" w:cs="Arial"/>
                <w:sz w:val="20"/>
                <w:szCs w:val="20"/>
              </w:rPr>
              <w:t>2.339</w:t>
            </w:r>
          </w:p>
        </w:tc>
        <w:tc>
          <w:tcPr>
            <w:tcW w:w="1559" w:type="dxa"/>
            <w:shd w:val="clear" w:color="auto" w:fill="FFFFFF" w:themeFill="background1"/>
            <w:vAlign w:val="center"/>
          </w:tcPr>
          <w:p w14:paraId="4F40DDE2" w14:textId="5576CA9D"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3.444</w:t>
            </w:r>
          </w:p>
        </w:tc>
      </w:tr>
      <w:tr w:rsidR="00E52B67" w:rsidRPr="003234C5" w14:paraId="611BD22B" w14:textId="77777777" w:rsidTr="00371FB1">
        <w:trPr>
          <w:trHeight w:val="227"/>
        </w:trPr>
        <w:tc>
          <w:tcPr>
            <w:tcW w:w="5670" w:type="dxa"/>
            <w:shd w:val="clear" w:color="auto" w:fill="FFFFFF" w:themeFill="background1"/>
            <w:vAlign w:val="center"/>
          </w:tcPr>
          <w:p w14:paraId="486017F4" w14:textId="139A6084" w:rsidR="00335882" w:rsidRPr="003234C5" w:rsidRDefault="00335882" w:rsidP="00335882">
            <w:pPr>
              <w:spacing w:after="0"/>
              <w:jc w:val="both"/>
              <w:rPr>
                <w:rFonts w:ascii="Arial" w:hAnsi="Arial" w:cs="Arial"/>
                <w:color w:val="000000" w:themeColor="text1"/>
                <w:sz w:val="20"/>
                <w:szCs w:val="20"/>
              </w:rPr>
            </w:pPr>
            <w:r w:rsidRPr="003234C5">
              <w:rPr>
                <w:rFonts w:ascii="Arial" w:hAnsi="Arial" w:cs="Arial"/>
                <w:color w:val="000000"/>
                <w:sz w:val="20"/>
                <w:szCs w:val="20"/>
              </w:rPr>
              <w:t>Ambev S.A.</w:t>
            </w:r>
          </w:p>
        </w:tc>
        <w:tc>
          <w:tcPr>
            <w:tcW w:w="1843" w:type="dxa"/>
            <w:shd w:val="clear" w:color="auto" w:fill="FFFFFF" w:themeFill="background1"/>
            <w:vAlign w:val="center"/>
          </w:tcPr>
          <w:p w14:paraId="2983C7BB" w14:textId="584B8FB0" w:rsidR="00335882" w:rsidRPr="003234C5" w:rsidRDefault="00096A6C" w:rsidP="00335882">
            <w:pPr>
              <w:spacing w:after="0"/>
              <w:jc w:val="right"/>
              <w:rPr>
                <w:rFonts w:ascii="Arial" w:hAnsi="Arial" w:cs="Arial"/>
                <w:sz w:val="20"/>
                <w:szCs w:val="20"/>
              </w:rPr>
            </w:pPr>
            <w:r>
              <w:rPr>
                <w:rFonts w:ascii="Arial" w:hAnsi="Arial" w:cs="Arial"/>
                <w:sz w:val="20"/>
                <w:szCs w:val="20"/>
              </w:rPr>
              <w:t>1.903</w:t>
            </w:r>
          </w:p>
        </w:tc>
        <w:tc>
          <w:tcPr>
            <w:tcW w:w="1559" w:type="dxa"/>
            <w:shd w:val="clear" w:color="auto" w:fill="FFFFFF" w:themeFill="background1"/>
            <w:vAlign w:val="center"/>
          </w:tcPr>
          <w:p w14:paraId="3F920D7A" w14:textId="60EC3E78"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1.696</w:t>
            </w:r>
          </w:p>
        </w:tc>
      </w:tr>
      <w:tr w:rsidR="00E52B67" w:rsidRPr="003234C5" w14:paraId="291D4A7C" w14:textId="77777777" w:rsidTr="00371FB1">
        <w:trPr>
          <w:trHeight w:val="227"/>
        </w:trPr>
        <w:tc>
          <w:tcPr>
            <w:tcW w:w="5670" w:type="dxa"/>
            <w:shd w:val="clear" w:color="auto" w:fill="FFFFFF" w:themeFill="background1"/>
            <w:vAlign w:val="center"/>
          </w:tcPr>
          <w:p w14:paraId="628C1F85" w14:textId="6F3422C0" w:rsidR="00C826A0" w:rsidRPr="003234C5" w:rsidRDefault="008715C9" w:rsidP="00335882">
            <w:pPr>
              <w:spacing w:after="0"/>
              <w:jc w:val="both"/>
              <w:rPr>
                <w:rFonts w:ascii="Arial" w:hAnsi="Arial" w:cs="Arial"/>
                <w:color w:val="000000"/>
                <w:sz w:val="20"/>
                <w:szCs w:val="20"/>
              </w:rPr>
            </w:pPr>
            <w:r w:rsidRPr="008715C9">
              <w:rPr>
                <w:rFonts w:ascii="Arial" w:hAnsi="Arial" w:cs="Arial"/>
                <w:color w:val="000000"/>
                <w:sz w:val="20"/>
                <w:szCs w:val="20"/>
              </w:rPr>
              <w:t>P</w:t>
            </w:r>
            <w:r w:rsidR="00392289">
              <w:rPr>
                <w:rFonts w:ascii="Arial" w:hAnsi="Arial" w:cs="Arial"/>
                <w:color w:val="000000"/>
                <w:sz w:val="20"/>
                <w:szCs w:val="20"/>
              </w:rPr>
              <w:t>etrobras</w:t>
            </w:r>
            <w:r w:rsidRPr="008715C9">
              <w:rPr>
                <w:rFonts w:ascii="Arial" w:hAnsi="Arial" w:cs="Arial"/>
                <w:color w:val="000000"/>
                <w:sz w:val="20"/>
                <w:szCs w:val="20"/>
              </w:rPr>
              <w:t xml:space="preserve"> D</w:t>
            </w:r>
            <w:r w:rsidR="00392289">
              <w:rPr>
                <w:rFonts w:ascii="Arial" w:hAnsi="Arial" w:cs="Arial"/>
                <w:color w:val="000000"/>
                <w:sz w:val="20"/>
                <w:szCs w:val="20"/>
              </w:rPr>
              <w:t>istribuidora</w:t>
            </w:r>
            <w:r w:rsidRPr="008715C9">
              <w:rPr>
                <w:rFonts w:ascii="Arial" w:hAnsi="Arial" w:cs="Arial"/>
                <w:color w:val="000000"/>
                <w:sz w:val="20"/>
                <w:szCs w:val="20"/>
              </w:rPr>
              <w:t xml:space="preserve"> S/A</w:t>
            </w:r>
          </w:p>
        </w:tc>
        <w:tc>
          <w:tcPr>
            <w:tcW w:w="1843" w:type="dxa"/>
            <w:shd w:val="clear" w:color="auto" w:fill="FFFFFF" w:themeFill="background1"/>
            <w:vAlign w:val="center"/>
          </w:tcPr>
          <w:p w14:paraId="34A20A55" w14:textId="0BFC2F57" w:rsidR="00C826A0" w:rsidRDefault="00E4623B" w:rsidP="00335882">
            <w:pPr>
              <w:spacing w:after="0"/>
              <w:jc w:val="right"/>
              <w:rPr>
                <w:rFonts w:ascii="Arial" w:hAnsi="Arial" w:cs="Arial"/>
                <w:sz w:val="20"/>
                <w:szCs w:val="20"/>
              </w:rPr>
            </w:pPr>
            <w:r>
              <w:rPr>
                <w:rFonts w:ascii="Arial" w:hAnsi="Arial" w:cs="Arial"/>
                <w:sz w:val="20"/>
                <w:szCs w:val="20"/>
              </w:rPr>
              <w:t>1.738</w:t>
            </w:r>
          </w:p>
        </w:tc>
        <w:tc>
          <w:tcPr>
            <w:tcW w:w="1559" w:type="dxa"/>
            <w:shd w:val="clear" w:color="auto" w:fill="FFFFFF" w:themeFill="background1"/>
            <w:vAlign w:val="center"/>
          </w:tcPr>
          <w:p w14:paraId="477330A0" w14:textId="12D332F3" w:rsidR="00C826A0" w:rsidRPr="003234C5" w:rsidRDefault="00392289" w:rsidP="00335882">
            <w:pPr>
              <w:spacing w:after="0"/>
              <w:jc w:val="right"/>
              <w:rPr>
                <w:rFonts w:ascii="Arial" w:hAnsi="Arial" w:cs="Arial"/>
                <w:color w:val="000000"/>
                <w:sz w:val="20"/>
                <w:szCs w:val="20"/>
              </w:rPr>
            </w:pPr>
            <w:r>
              <w:rPr>
                <w:rFonts w:ascii="Arial" w:hAnsi="Arial" w:cs="Arial"/>
                <w:color w:val="000000"/>
                <w:sz w:val="20"/>
                <w:szCs w:val="20"/>
              </w:rPr>
              <w:t>-</w:t>
            </w:r>
          </w:p>
        </w:tc>
      </w:tr>
      <w:tr w:rsidR="00146BDF" w:rsidRPr="003234C5" w14:paraId="213F079F" w14:textId="77777777" w:rsidTr="00371FB1">
        <w:trPr>
          <w:trHeight w:val="227"/>
        </w:trPr>
        <w:tc>
          <w:tcPr>
            <w:tcW w:w="5670" w:type="dxa"/>
            <w:shd w:val="clear" w:color="auto" w:fill="FFFFFF" w:themeFill="background1"/>
            <w:vAlign w:val="center"/>
          </w:tcPr>
          <w:p w14:paraId="2A99D43D" w14:textId="6490E67D" w:rsidR="00146BDF" w:rsidRPr="008715C9" w:rsidRDefault="00146BDF" w:rsidP="00335882">
            <w:pPr>
              <w:spacing w:after="0"/>
              <w:jc w:val="both"/>
              <w:rPr>
                <w:rFonts w:ascii="Arial" w:hAnsi="Arial" w:cs="Arial"/>
                <w:color w:val="000000"/>
                <w:sz w:val="20"/>
                <w:szCs w:val="20"/>
              </w:rPr>
            </w:pPr>
            <w:proofErr w:type="spellStart"/>
            <w:r w:rsidRPr="00146BDF">
              <w:rPr>
                <w:rFonts w:ascii="Arial" w:hAnsi="Arial" w:cs="Arial"/>
                <w:color w:val="000000"/>
                <w:sz w:val="20"/>
                <w:szCs w:val="20"/>
              </w:rPr>
              <w:t>Mdias</w:t>
            </w:r>
            <w:proofErr w:type="spellEnd"/>
            <w:r w:rsidRPr="00146BDF">
              <w:rPr>
                <w:rFonts w:ascii="Arial" w:hAnsi="Arial" w:cs="Arial"/>
                <w:color w:val="000000"/>
                <w:sz w:val="20"/>
                <w:szCs w:val="20"/>
              </w:rPr>
              <w:t xml:space="preserve"> Branco S A </w:t>
            </w:r>
            <w:proofErr w:type="spellStart"/>
            <w:r w:rsidRPr="00146BDF">
              <w:rPr>
                <w:rFonts w:ascii="Arial" w:hAnsi="Arial" w:cs="Arial"/>
                <w:color w:val="000000"/>
                <w:sz w:val="20"/>
                <w:szCs w:val="20"/>
              </w:rPr>
              <w:t>Ind</w:t>
            </w:r>
            <w:proofErr w:type="spellEnd"/>
            <w:r w:rsidRPr="00146BDF">
              <w:rPr>
                <w:rFonts w:ascii="Arial" w:hAnsi="Arial" w:cs="Arial"/>
                <w:color w:val="000000"/>
                <w:sz w:val="20"/>
                <w:szCs w:val="20"/>
              </w:rPr>
              <w:t xml:space="preserve"> E Com De </w:t>
            </w:r>
            <w:proofErr w:type="spellStart"/>
            <w:r w:rsidRPr="00146BDF">
              <w:rPr>
                <w:rFonts w:ascii="Arial" w:hAnsi="Arial" w:cs="Arial"/>
                <w:color w:val="000000"/>
                <w:sz w:val="20"/>
                <w:szCs w:val="20"/>
              </w:rPr>
              <w:t>Alim</w:t>
            </w:r>
            <w:proofErr w:type="spellEnd"/>
            <w:r w:rsidRPr="00146BDF">
              <w:rPr>
                <w:rFonts w:ascii="Arial" w:hAnsi="Arial" w:cs="Arial"/>
                <w:color w:val="000000"/>
                <w:sz w:val="20"/>
                <w:szCs w:val="20"/>
              </w:rPr>
              <w:t>.</w:t>
            </w:r>
          </w:p>
        </w:tc>
        <w:tc>
          <w:tcPr>
            <w:tcW w:w="1843" w:type="dxa"/>
            <w:shd w:val="clear" w:color="auto" w:fill="FFFFFF" w:themeFill="background1"/>
            <w:vAlign w:val="center"/>
          </w:tcPr>
          <w:p w14:paraId="6A6FFC01" w14:textId="75243698" w:rsidR="00146BDF" w:rsidRDefault="00146BDF" w:rsidP="00335882">
            <w:pPr>
              <w:spacing w:after="0"/>
              <w:jc w:val="right"/>
              <w:rPr>
                <w:rFonts w:ascii="Arial" w:hAnsi="Arial" w:cs="Arial"/>
                <w:sz w:val="20"/>
                <w:szCs w:val="20"/>
              </w:rPr>
            </w:pPr>
            <w:r>
              <w:rPr>
                <w:rFonts w:ascii="Arial" w:hAnsi="Arial" w:cs="Arial"/>
                <w:sz w:val="20"/>
                <w:szCs w:val="20"/>
              </w:rPr>
              <w:t>929</w:t>
            </w:r>
          </w:p>
        </w:tc>
        <w:tc>
          <w:tcPr>
            <w:tcW w:w="1559" w:type="dxa"/>
            <w:shd w:val="clear" w:color="auto" w:fill="FFFFFF" w:themeFill="background1"/>
            <w:vAlign w:val="center"/>
          </w:tcPr>
          <w:p w14:paraId="65239604" w14:textId="77777777" w:rsidR="00146BDF" w:rsidRDefault="00146BDF" w:rsidP="00335882">
            <w:pPr>
              <w:spacing w:after="0"/>
              <w:jc w:val="right"/>
              <w:rPr>
                <w:rFonts w:ascii="Arial" w:hAnsi="Arial" w:cs="Arial"/>
                <w:color w:val="000000"/>
                <w:sz w:val="20"/>
                <w:szCs w:val="20"/>
              </w:rPr>
            </w:pPr>
          </w:p>
        </w:tc>
      </w:tr>
      <w:tr w:rsidR="00E52B67" w:rsidRPr="003234C5" w14:paraId="480E162C" w14:textId="77777777" w:rsidTr="00371FB1">
        <w:trPr>
          <w:trHeight w:val="227"/>
        </w:trPr>
        <w:tc>
          <w:tcPr>
            <w:tcW w:w="5670" w:type="dxa"/>
            <w:shd w:val="clear" w:color="auto" w:fill="FFFFFF" w:themeFill="background1"/>
            <w:vAlign w:val="center"/>
          </w:tcPr>
          <w:p w14:paraId="6910FEBD" w14:textId="6984D0E2" w:rsidR="00335882" w:rsidRPr="003234C5" w:rsidRDefault="00096A6C" w:rsidP="00335882">
            <w:pPr>
              <w:spacing w:after="0"/>
              <w:jc w:val="both"/>
              <w:rPr>
                <w:rFonts w:ascii="Arial" w:hAnsi="Arial" w:cs="Arial"/>
                <w:sz w:val="20"/>
                <w:szCs w:val="20"/>
              </w:rPr>
            </w:pPr>
            <w:proofErr w:type="spellStart"/>
            <w:r w:rsidRPr="003234C5">
              <w:rPr>
                <w:rFonts w:ascii="Arial" w:hAnsi="Arial" w:cs="Arial"/>
                <w:color w:val="000000"/>
                <w:sz w:val="20"/>
                <w:szCs w:val="20"/>
              </w:rPr>
              <w:t>Vm</w:t>
            </w:r>
            <w:proofErr w:type="spellEnd"/>
            <w:r w:rsidRPr="003234C5">
              <w:rPr>
                <w:rFonts w:ascii="Arial" w:hAnsi="Arial" w:cs="Arial"/>
                <w:color w:val="000000"/>
                <w:sz w:val="20"/>
                <w:szCs w:val="20"/>
              </w:rPr>
              <w:t xml:space="preserve"> Revendedora De </w:t>
            </w:r>
            <w:proofErr w:type="spellStart"/>
            <w:r w:rsidRPr="003234C5">
              <w:rPr>
                <w:rFonts w:ascii="Arial" w:hAnsi="Arial" w:cs="Arial"/>
                <w:color w:val="000000"/>
                <w:sz w:val="20"/>
                <w:szCs w:val="20"/>
              </w:rPr>
              <w:t>Petroleo</w:t>
            </w:r>
            <w:proofErr w:type="spellEnd"/>
            <w:r w:rsidRPr="003234C5">
              <w:rPr>
                <w:rFonts w:ascii="Arial" w:hAnsi="Arial" w:cs="Arial"/>
                <w:color w:val="000000"/>
                <w:sz w:val="20"/>
                <w:szCs w:val="20"/>
              </w:rPr>
              <w:t xml:space="preserve"> Ltda</w:t>
            </w:r>
          </w:p>
        </w:tc>
        <w:tc>
          <w:tcPr>
            <w:tcW w:w="1843" w:type="dxa"/>
            <w:shd w:val="clear" w:color="auto" w:fill="FFFFFF" w:themeFill="background1"/>
            <w:vAlign w:val="center"/>
          </w:tcPr>
          <w:p w14:paraId="4C099437" w14:textId="03F574D9" w:rsidR="00335882" w:rsidRPr="003234C5" w:rsidRDefault="00096A6C" w:rsidP="00335882">
            <w:pPr>
              <w:spacing w:after="0"/>
              <w:jc w:val="right"/>
              <w:rPr>
                <w:rFonts w:ascii="Arial" w:hAnsi="Arial" w:cs="Arial"/>
                <w:sz w:val="20"/>
                <w:szCs w:val="20"/>
              </w:rPr>
            </w:pPr>
            <w:r>
              <w:rPr>
                <w:rFonts w:ascii="Arial" w:hAnsi="Arial" w:cs="Arial"/>
                <w:sz w:val="20"/>
                <w:szCs w:val="20"/>
              </w:rPr>
              <w:t>613</w:t>
            </w:r>
          </w:p>
        </w:tc>
        <w:tc>
          <w:tcPr>
            <w:tcW w:w="1559" w:type="dxa"/>
            <w:shd w:val="clear" w:color="auto" w:fill="FFFFFF" w:themeFill="background1"/>
            <w:vAlign w:val="center"/>
          </w:tcPr>
          <w:p w14:paraId="2687EFFA" w14:textId="50AFC18F" w:rsidR="00335882" w:rsidRPr="003234C5" w:rsidRDefault="00AC4082" w:rsidP="00335882">
            <w:pPr>
              <w:spacing w:after="0"/>
              <w:jc w:val="right"/>
              <w:rPr>
                <w:rFonts w:ascii="Arial" w:hAnsi="Arial" w:cs="Arial"/>
                <w:sz w:val="20"/>
                <w:szCs w:val="20"/>
              </w:rPr>
            </w:pPr>
            <w:r>
              <w:rPr>
                <w:rFonts w:ascii="Arial" w:hAnsi="Arial" w:cs="Arial"/>
                <w:color w:val="000000"/>
                <w:sz w:val="20"/>
                <w:szCs w:val="20"/>
              </w:rPr>
              <w:t>544</w:t>
            </w:r>
          </w:p>
        </w:tc>
      </w:tr>
      <w:tr w:rsidR="00E52B67" w:rsidRPr="003234C5" w14:paraId="68753619" w14:textId="77777777" w:rsidTr="00371FB1">
        <w:trPr>
          <w:trHeight w:val="227"/>
        </w:trPr>
        <w:tc>
          <w:tcPr>
            <w:tcW w:w="5670" w:type="dxa"/>
            <w:shd w:val="clear" w:color="auto" w:fill="FFFFFF" w:themeFill="background1"/>
            <w:vAlign w:val="center"/>
          </w:tcPr>
          <w:p w14:paraId="329A094E" w14:textId="6A265B36" w:rsidR="00335882" w:rsidRPr="003234C5" w:rsidRDefault="00335882" w:rsidP="00335882">
            <w:pPr>
              <w:spacing w:after="0"/>
              <w:jc w:val="both"/>
              <w:rPr>
                <w:rFonts w:ascii="Arial" w:hAnsi="Arial" w:cs="Arial"/>
                <w:sz w:val="20"/>
                <w:szCs w:val="20"/>
              </w:rPr>
            </w:pPr>
            <w:r w:rsidRPr="003234C5">
              <w:rPr>
                <w:rFonts w:ascii="Arial" w:hAnsi="Arial" w:cs="Arial"/>
                <w:color w:val="000000"/>
                <w:sz w:val="20"/>
                <w:szCs w:val="20"/>
              </w:rPr>
              <w:t xml:space="preserve">M S </w:t>
            </w:r>
            <w:proofErr w:type="spellStart"/>
            <w:r w:rsidRPr="003234C5">
              <w:rPr>
                <w:rFonts w:ascii="Arial" w:hAnsi="Arial" w:cs="Arial"/>
                <w:color w:val="000000"/>
                <w:sz w:val="20"/>
                <w:szCs w:val="20"/>
              </w:rPr>
              <w:t>Petroleo</w:t>
            </w:r>
            <w:proofErr w:type="spellEnd"/>
            <w:r w:rsidRPr="003234C5">
              <w:rPr>
                <w:rFonts w:ascii="Arial" w:hAnsi="Arial" w:cs="Arial"/>
                <w:color w:val="000000"/>
                <w:sz w:val="20"/>
                <w:szCs w:val="20"/>
              </w:rPr>
              <w:t xml:space="preserve"> Ltda</w:t>
            </w:r>
          </w:p>
        </w:tc>
        <w:tc>
          <w:tcPr>
            <w:tcW w:w="1843" w:type="dxa"/>
            <w:shd w:val="clear" w:color="auto" w:fill="FFFFFF" w:themeFill="background1"/>
            <w:vAlign w:val="center"/>
          </w:tcPr>
          <w:p w14:paraId="5A63B7F2" w14:textId="15A13CD2" w:rsidR="00335882" w:rsidRPr="003234C5" w:rsidRDefault="00096A6C" w:rsidP="00335882">
            <w:pPr>
              <w:spacing w:after="0"/>
              <w:jc w:val="right"/>
              <w:rPr>
                <w:rFonts w:ascii="Arial" w:hAnsi="Arial" w:cs="Arial"/>
                <w:sz w:val="20"/>
                <w:szCs w:val="20"/>
              </w:rPr>
            </w:pPr>
            <w:r>
              <w:rPr>
                <w:rFonts w:ascii="Arial" w:hAnsi="Arial" w:cs="Arial"/>
                <w:sz w:val="20"/>
                <w:szCs w:val="20"/>
              </w:rPr>
              <w:t>477</w:t>
            </w:r>
          </w:p>
        </w:tc>
        <w:tc>
          <w:tcPr>
            <w:tcW w:w="1559" w:type="dxa"/>
            <w:shd w:val="clear" w:color="auto" w:fill="FFFFFF" w:themeFill="background1"/>
            <w:vAlign w:val="center"/>
          </w:tcPr>
          <w:p w14:paraId="3E94AB1C" w14:textId="1849DBA1"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343</w:t>
            </w:r>
          </w:p>
        </w:tc>
      </w:tr>
      <w:tr w:rsidR="00E52B67" w:rsidRPr="003234C5" w14:paraId="0B2A03A2" w14:textId="77777777" w:rsidTr="00371FB1">
        <w:trPr>
          <w:trHeight w:val="227"/>
        </w:trPr>
        <w:tc>
          <w:tcPr>
            <w:tcW w:w="5670" w:type="dxa"/>
            <w:shd w:val="clear" w:color="auto" w:fill="FFFFFF" w:themeFill="background1"/>
            <w:vAlign w:val="center"/>
          </w:tcPr>
          <w:p w14:paraId="73A9509E" w14:textId="12AB431B" w:rsidR="00335882" w:rsidRPr="003234C5" w:rsidRDefault="00096A6C" w:rsidP="00335882">
            <w:pPr>
              <w:spacing w:after="0"/>
              <w:jc w:val="both"/>
              <w:rPr>
                <w:rFonts w:ascii="Arial" w:hAnsi="Arial" w:cs="Arial"/>
                <w:sz w:val="20"/>
                <w:szCs w:val="20"/>
              </w:rPr>
            </w:pPr>
            <w:r w:rsidRPr="003234C5">
              <w:rPr>
                <w:rFonts w:ascii="Arial" w:hAnsi="Arial" w:cs="Arial"/>
                <w:color w:val="000000"/>
                <w:sz w:val="20"/>
                <w:szCs w:val="20"/>
              </w:rPr>
              <w:t xml:space="preserve">Sobral </w:t>
            </w:r>
            <w:proofErr w:type="spellStart"/>
            <w:r w:rsidRPr="003234C5">
              <w:rPr>
                <w:rFonts w:ascii="Arial" w:hAnsi="Arial" w:cs="Arial"/>
                <w:color w:val="000000"/>
                <w:sz w:val="20"/>
                <w:szCs w:val="20"/>
              </w:rPr>
              <w:t>Palacio</w:t>
            </w:r>
            <w:proofErr w:type="spellEnd"/>
            <w:r w:rsidRPr="003234C5">
              <w:rPr>
                <w:rFonts w:ascii="Arial" w:hAnsi="Arial" w:cs="Arial"/>
                <w:color w:val="000000"/>
                <w:sz w:val="20"/>
                <w:szCs w:val="20"/>
              </w:rPr>
              <w:t xml:space="preserve"> </w:t>
            </w:r>
            <w:proofErr w:type="spellStart"/>
            <w:r w:rsidRPr="003234C5">
              <w:rPr>
                <w:rFonts w:ascii="Arial" w:hAnsi="Arial" w:cs="Arial"/>
                <w:color w:val="000000"/>
                <w:sz w:val="20"/>
                <w:szCs w:val="20"/>
              </w:rPr>
              <w:t>Petroleo</w:t>
            </w:r>
            <w:proofErr w:type="spellEnd"/>
            <w:r w:rsidRPr="003234C5">
              <w:rPr>
                <w:rFonts w:ascii="Arial" w:hAnsi="Arial" w:cs="Arial"/>
                <w:color w:val="000000"/>
                <w:sz w:val="20"/>
                <w:szCs w:val="20"/>
              </w:rPr>
              <w:t xml:space="preserve"> Ltda</w:t>
            </w:r>
          </w:p>
        </w:tc>
        <w:tc>
          <w:tcPr>
            <w:tcW w:w="1843" w:type="dxa"/>
            <w:shd w:val="clear" w:color="auto" w:fill="FFFFFF" w:themeFill="background1"/>
            <w:vAlign w:val="center"/>
          </w:tcPr>
          <w:p w14:paraId="4186C10C" w14:textId="0D5FD9D5" w:rsidR="00335882" w:rsidRPr="003234C5" w:rsidRDefault="00A26432" w:rsidP="00335882">
            <w:pPr>
              <w:spacing w:after="0"/>
              <w:jc w:val="right"/>
              <w:rPr>
                <w:rFonts w:ascii="Arial" w:hAnsi="Arial" w:cs="Arial"/>
                <w:sz w:val="20"/>
                <w:szCs w:val="20"/>
              </w:rPr>
            </w:pPr>
            <w:r>
              <w:rPr>
                <w:rFonts w:ascii="Arial" w:hAnsi="Arial" w:cs="Arial"/>
                <w:sz w:val="20"/>
                <w:szCs w:val="20"/>
              </w:rPr>
              <w:t>415</w:t>
            </w:r>
          </w:p>
        </w:tc>
        <w:tc>
          <w:tcPr>
            <w:tcW w:w="1559" w:type="dxa"/>
            <w:shd w:val="clear" w:color="auto" w:fill="FFFFFF" w:themeFill="background1"/>
            <w:vAlign w:val="center"/>
          </w:tcPr>
          <w:p w14:paraId="69A8C8BE" w14:textId="3E6072DE" w:rsidR="00335882" w:rsidRPr="003234C5" w:rsidRDefault="007961AE" w:rsidP="00335882">
            <w:pPr>
              <w:spacing w:after="0"/>
              <w:jc w:val="right"/>
              <w:rPr>
                <w:rFonts w:ascii="Arial" w:hAnsi="Arial" w:cs="Arial"/>
                <w:sz w:val="20"/>
                <w:szCs w:val="20"/>
              </w:rPr>
            </w:pPr>
            <w:r>
              <w:rPr>
                <w:rFonts w:ascii="Arial" w:hAnsi="Arial" w:cs="Arial"/>
                <w:sz w:val="20"/>
                <w:szCs w:val="20"/>
              </w:rPr>
              <w:t>-</w:t>
            </w:r>
          </w:p>
        </w:tc>
      </w:tr>
      <w:tr w:rsidR="00D15538" w:rsidRPr="003234C5" w14:paraId="3FB963B3" w14:textId="77777777" w:rsidTr="00371FB1">
        <w:trPr>
          <w:trHeight w:val="227"/>
        </w:trPr>
        <w:tc>
          <w:tcPr>
            <w:tcW w:w="5670" w:type="dxa"/>
            <w:shd w:val="clear" w:color="auto" w:fill="FFFFFF" w:themeFill="background1"/>
            <w:vAlign w:val="center"/>
          </w:tcPr>
          <w:p w14:paraId="3E72449A" w14:textId="11E27036" w:rsidR="00D15538" w:rsidRPr="003234C5" w:rsidRDefault="00AB7FFC" w:rsidP="002F2009">
            <w:pPr>
              <w:spacing w:after="0"/>
              <w:jc w:val="both"/>
              <w:rPr>
                <w:rFonts w:ascii="Arial" w:hAnsi="Arial" w:cs="Arial"/>
                <w:color w:val="000000"/>
                <w:sz w:val="20"/>
                <w:szCs w:val="20"/>
              </w:rPr>
            </w:pPr>
            <w:r>
              <w:rPr>
                <w:rFonts w:ascii="Arial" w:hAnsi="Arial" w:cs="Arial"/>
                <w:color w:val="000000"/>
                <w:sz w:val="20"/>
                <w:szCs w:val="20"/>
              </w:rPr>
              <w:t xml:space="preserve">Outros </w:t>
            </w:r>
          </w:p>
        </w:tc>
        <w:tc>
          <w:tcPr>
            <w:tcW w:w="1843" w:type="dxa"/>
            <w:shd w:val="clear" w:color="auto" w:fill="FFFFFF" w:themeFill="background1"/>
            <w:vAlign w:val="center"/>
          </w:tcPr>
          <w:p w14:paraId="40BEB02C" w14:textId="020F8817" w:rsidR="00D15538" w:rsidRDefault="006D21FC" w:rsidP="002F2009">
            <w:pPr>
              <w:spacing w:after="0"/>
              <w:jc w:val="right"/>
              <w:rPr>
                <w:rFonts w:ascii="Arial" w:hAnsi="Arial" w:cs="Arial"/>
                <w:sz w:val="20"/>
                <w:szCs w:val="20"/>
              </w:rPr>
            </w:pPr>
            <w:r>
              <w:rPr>
                <w:rFonts w:ascii="Arial" w:hAnsi="Arial" w:cs="Arial"/>
                <w:sz w:val="20"/>
                <w:szCs w:val="20"/>
              </w:rPr>
              <w:t>11.899</w:t>
            </w:r>
          </w:p>
        </w:tc>
        <w:tc>
          <w:tcPr>
            <w:tcW w:w="1559" w:type="dxa"/>
            <w:shd w:val="clear" w:color="auto" w:fill="FFFFFF" w:themeFill="background1"/>
            <w:vAlign w:val="center"/>
          </w:tcPr>
          <w:p w14:paraId="6E7954DC" w14:textId="1F58470A" w:rsidR="00D15538" w:rsidRDefault="000B1A71" w:rsidP="002F2009">
            <w:pPr>
              <w:spacing w:after="0"/>
              <w:jc w:val="right"/>
              <w:rPr>
                <w:rFonts w:ascii="Arial" w:hAnsi="Arial" w:cs="Arial"/>
                <w:sz w:val="20"/>
                <w:szCs w:val="20"/>
              </w:rPr>
            </w:pPr>
            <w:r>
              <w:rPr>
                <w:rFonts w:ascii="Arial" w:hAnsi="Arial" w:cs="Arial"/>
                <w:sz w:val="20"/>
                <w:szCs w:val="20"/>
              </w:rPr>
              <w:t>11.440</w:t>
            </w:r>
          </w:p>
        </w:tc>
      </w:tr>
      <w:tr w:rsidR="00E52B67" w:rsidRPr="003234C5" w14:paraId="35804D2D" w14:textId="77777777" w:rsidTr="00371FB1">
        <w:trPr>
          <w:trHeight w:val="227"/>
        </w:trPr>
        <w:tc>
          <w:tcPr>
            <w:tcW w:w="5670" w:type="dxa"/>
            <w:shd w:val="clear" w:color="auto" w:fill="C0C0C0"/>
            <w:vAlign w:val="center"/>
          </w:tcPr>
          <w:p w14:paraId="47C9B886" w14:textId="77777777" w:rsidR="002F2009" w:rsidRPr="003234C5" w:rsidRDefault="002F2009" w:rsidP="002F2009">
            <w:pPr>
              <w:spacing w:after="0"/>
              <w:jc w:val="both"/>
              <w:rPr>
                <w:rFonts w:ascii="Arial" w:hAnsi="Arial" w:cs="Arial"/>
                <w:b/>
                <w:sz w:val="20"/>
                <w:szCs w:val="20"/>
              </w:rPr>
            </w:pPr>
            <w:r w:rsidRPr="003234C5">
              <w:rPr>
                <w:rFonts w:ascii="Arial" w:hAnsi="Arial" w:cs="Arial"/>
                <w:b/>
                <w:sz w:val="20"/>
                <w:szCs w:val="20"/>
              </w:rPr>
              <w:t>Subtotal</w:t>
            </w:r>
          </w:p>
        </w:tc>
        <w:tc>
          <w:tcPr>
            <w:tcW w:w="1843" w:type="dxa"/>
            <w:shd w:val="clear" w:color="auto" w:fill="C0C0C0"/>
            <w:vAlign w:val="center"/>
          </w:tcPr>
          <w:p w14:paraId="20B8C5EC" w14:textId="55C7596E" w:rsidR="002F2009" w:rsidRPr="003234C5" w:rsidRDefault="00C94133" w:rsidP="560654F9">
            <w:pPr>
              <w:spacing w:after="0"/>
              <w:jc w:val="right"/>
              <w:rPr>
                <w:rFonts w:ascii="Arial" w:hAnsi="Arial" w:cs="Arial"/>
                <w:b/>
                <w:bCs/>
                <w:sz w:val="20"/>
                <w:szCs w:val="20"/>
              </w:rPr>
            </w:pPr>
            <w:r>
              <w:rPr>
                <w:rFonts w:ascii="Arial" w:hAnsi="Arial" w:cs="Arial"/>
                <w:b/>
                <w:bCs/>
                <w:sz w:val="20"/>
                <w:szCs w:val="20"/>
              </w:rPr>
              <w:t>71</w:t>
            </w:r>
            <w:r w:rsidR="6AAC6A70" w:rsidRPr="560654F9">
              <w:rPr>
                <w:rFonts w:ascii="Arial" w:hAnsi="Arial" w:cs="Arial"/>
                <w:b/>
                <w:bCs/>
                <w:sz w:val="20"/>
                <w:szCs w:val="20"/>
              </w:rPr>
              <w:t>.</w:t>
            </w:r>
            <w:r>
              <w:rPr>
                <w:rFonts w:ascii="Arial" w:hAnsi="Arial" w:cs="Arial"/>
                <w:b/>
                <w:bCs/>
                <w:sz w:val="20"/>
                <w:szCs w:val="20"/>
              </w:rPr>
              <w:t>310</w:t>
            </w:r>
          </w:p>
        </w:tc>
        <w:tc>
          <w:tcPr>
            <w:tcW w:w="1559" w:type="dxa"/>
            <w:shd w:val="clear" w:color="auto" w:fill="C0C0C0"/>
            <w:vAlign w:val="center"/>
          </w:tcPr>
          <w:p w14:paraId="6B8DAF05" w14:textId="0848158D" w:rsidR="002F2009" w:rsidRPr="00AB5EAA" w:rsidRDefault="002F2009" w:rsidP="002F2009">
            <w:pPr>
              <w:spacing w:after="0"/>
              <w:jc w:val="right"/>
              <w:rPr>
                <w:rFonts w:ascii="Arial" w:hAnsi="Arial" w:cs="Arial"/>
                <w:b/>
                <w:bCs/>
                <w:sz w:val="20"/>
                <w:szCs w:val="20"/>
              </w:rPr>
            </w:pPr>
            <w:r w:rsidRPr="00AB5EAA">
              <w:rPr>
                <w:rFonts w:ascii="Arial" w:hAnsi="Arial" w:cs="Arial"/>
                <w:b/>
                <w:bCs/>
                <w:color w:val="000000"/>
                <w:sz w:val="20"/>
                <w:szCs w:val="20"/>
              </w:rPr>
              <w:t>20.047</w:t>
            </w:r>
          </w:p>
        </w:tc>
      </w:tr>
      <w:tr w:rsidR="00E52B67" w:rsidRPr="003234C5" w14:paraId="48E9CA33" w14:textId="77777777" w:rsidTr="00371FB1">
        <w:trPr>
          <w:trHeight w:val="227"/>
        </w:trPr>
        <w:tc>
          <w:tcPr>
            <w:tcW w:w="5670" w:type="dxa"/>
            <w:shd w:val="clear" w:color="auto" w:fill="FFFFFF" w:themeFill="background1"/>
            <w:vAlign w:val="bottom"/>
          </w:tcPr>
          <w:p w14:paraId="161D82A7" w14:textId="5B7443F9" w:rsidR="002F2009" w:rsidRPr="003234C5" w:rsidRDefault="002F2009" w:rsidP="002F2009">
            <w:pPr>
              <w:autoSpaceDE w:val="0"/>
              <w:autoSpaceDN w:val="0"/>
              <w:adjustRightInd w:val="0"/>
              <w:spacing w:after="0"/>
              <w:jc w:val="both"/>
              <w:rPr>
                <w:rFonts w:ascii="Arial" w:hAnsi="Arial" w:cs="Arial"/>
                <w:b/>
                <w:sz w:val="20"/>
                <w:szCs w:val="20"/>
              </w:rPr>
            </w:pPr>
            <w:r w:rsidRPr="003234C5">
              <w:rPr>
                <w:rFonts w:ascii="Arial" w:hAnsi="Arial" w:cs="Arial"/>
                <w:sz w:val="20"/>
                <w:szCs w:val="20"/>
              </w:rPr>
              <w:t>(-) Perdas Estimadas no Recebimento de Créditos</w:t>
            </w:r>
          </w:p>
        </w:tc>
        <w:tc>
          <w:tcPr>
            <w:tcW w:w="1843" w:type="dxa"/>
            <w:shd w:val="clear" w:color="auto" w:fill="FFFFFF" w:themeFill="background1"/>
            <w:vAlign w:val="center"/>
          </w:tcPr>
          <w:p w14:paraId="052A0934" w14:textId="6EF90227" w:rsidR="002F2009" w:rsidRPr="003234C5" w:rsidRDefault="007D6786" w:rsidP="002F2009">
            <w:pPr>
              <w:spacing w:after="0"/>
              <w:jc w:val="right"/>
              <w:rPr>
                <w:rFonts w:ascii="Arial" w:hAnsi="Arial" w:cs="Arial"/>
                <w:sz w:val="20"/>
                <w:szCs w:val="20"/>
              </w:rPr>
            </w:pPr>
            <w:r>
              <w:rPr>
                <w:rFonts w:ascii="Arial" w:hAnsi="Arial" w:cs="Arial"/>
                <w:sz w:val="20"/>
                <w:szCs w:val="20"/>
              </w:rPr>
              <w:t>(54)</w:t>
            </w:r>
          </w:p>
        </w:tc>
        <w:tc>
          <w:tcPr>
            <w:tcW w:w="1559" w:type="dxa"/>
            <w:shd w:val="clear" w:color="auto" w:fill="FFFFFF" w:themeFill="background1"/>
            <w:vAlign w:val="center"/>
          </w:tcPr>
          <w:p w14:paraId="38AFBCC6" w14:textId="0A27F080" w:rsidR="002F2009" w:rsidRPr="003234C5" w:rsidRDefault="002F2009" w:rsidP="002F2009">
            <w:pPr>
              <w:spacing w:after="0"/>
              <w:jc w:val="right"/>
              <w:rPr>
                <w:rFonts w:ascii="Arial" w:hAnsi="Arial" w:cs="Arial"/>
                <w:sz w:val="20"/>
                <w:szCs w:val="20"/>
              </w:rPr>
            </w:pPr>
            <w:r w:rsidRPr="003234C5">
              <w:rPr>
                <w:rFonts w:ascii="Arial" w:hAnsi="Arial" w:cs="Arial"/>
                <w:sz w:val="20"/>
                <w:szCs w:val="20"/>
              </w:rPr>
              <w:t>(42)</w:t>
            </w:r>
          </w:p>
        </w:tc>
      </w:tr>
      <w:tr w:rsidR="00E52B67" w:rsidRPr="003234C5" w14:paraId="3049DB43" w14:textId="77777777" w:rsidTr="00371FB1">
        <w:trPr>
          <w:trHeight w:val="227"/>
        </w:trPr>
        <w:tc>
          <w:tcPr>
            <w:tcW w:w="5670" w:type="dxa"/>
            <w:shd w:val="clear" w:color="auto" w:fill="C0C0C0"/>
            <w:vAlign w:val="center"/>
          </w:tcPr>
          <w:p w14:paraId="4BFEF14D" w14:textId="77777777" w:rsidR="002F2009" w:rsidRPr="003234C5" w:rsidRDefault="002F2009" w:rsidP="002F2009">
            <w:pPr>
              <w:spacing w:after="0"/>
              <w:jc w:val="both"/>
              <w:rPr>
                <w:rFonts w:ascii="Arial" w:hAnsi="Arial" w:cs="Arial"/>
                <w:b/>
                <w:sz w:val="20"/>
                <w:szCs w:val="20"/>
              </w:rPr>
            </w:pPr>
            <w:r w:rsidRPr="003234C5">
              <w:rPr>
                <w:rFonts w:ascii="Arial" w:hAnsi="Arial" w:cs="Arial"/>
                <w:b/>
                <w:sz w:val="20"/>
                <w:szCs w:val="20"/>
              </w:rPr>
              <w:t>TOTAL</w:t>
            </w:r>
          </w:p>
        </w:tc>
        <w:tc>
          <w:tcPr>
            <w:tcW w:w="1843" w:type="dxa"/>
            <w:shd w:val="clear" w:color="auto" w:fill="C0C0C0"/>
            <w:vAlign w:val="center"/>
          </w:tcPr>
          <w:p w14:paraId="0E7BEA99" w14:textId="5F38AFD1" w:rsidR="002F2009" w:rsidRPr="003234C5" w:rsidRDefault="00054F3D" w:rsidP="002F2009">
            <w:pPr>
              <w:spacing w:after="0"/>
              <w:jc w:val="right"/>
              <w:rPr>
                <w:rFonts w:ascii="Arial" w:hAnsi="Arial" w:cs="Arial"/>
                <w:b/>
                <w:bCs/>
                <w:sz w:val="20"/>
                <w:szCs w:val="20"/>
              </w:rPr>
            </w:pPr>
            <w:r>
              <w:rPr>
                <w:rFonts w:ascii="Arial" w:hAnsi="Arial" w:cs="Arial"/>
                <w:b/>
                <w:bCs/>
                <w:sz w:val="20"/>
                <w:szCs w:val="20"/>
              </w:rPr>
              <w:t>71</w:t>
            </w:r>
            <w:r w:rsidR="63142B2E" w:rsidRPr="560654F9">
              <w:rPr>
                <w:rFonts w:ascii="Arial" w:hAnsi="Arial" w:cs="Arial"/>
                <w:b/>
                <w:bCs/>
                <w:sz w:val="20"/>
                <w:szCs w:val="20"/>
              </w:rPr>
              <w:t>.</w:t>
            </w:r>
            <w:r>
              <w:rPr>
                <w:rFonts w:ascii="Arial" w:hAnsi="Arial" w:cs="Arial"/>
                <w:b/>
                <w:bCs/>
                <w:sz w:val="20"/>
                <w:szCs w:val="20"/>
              </w:rPr>
              <w:t>256</w:t>
            </w:r>
          </w:p>
        </w:tc>
        <w:tc>
          <w:tcPr>
            <w:tcW w:w="1559" w:type="dxa"/>
            <w:shd w:val="clear" w:color="auto" w:fill="C0C0C0"/>
            <w:vAlign w:val="center"/>
          </w:tcPr>
          <w:p w14:paraId="42E397F8" w14:textId="4F0218A5" w:rsidR="002F2009" w:rsidRPr="00AB5EAA" w:rsidRDefault="002F2009" w:rsidP="002F2009">
            <w:pPr>
              <w:spacing w:after="0"/>
              <w:jc w:val="right"/>
              <w:rPr>
                <w:rFonts w:ascii="Arial" w:hAnsi="Arial" w:cs="Arial"/>
                <w:b/>
                <w:bCs/>
                <w:sz w:val="20"/>
                <w:szCs w:val="20"/>
              </w:rPr>
            </w:pPr>
            <w:r w:rsidRPr="00AB5EAA">
              <w:rPr>
                <w:rFonts w:ascii="Arial" w:hAnsi="Arial" w:cs="Arial"/>
                <w:b/>
                <w:bCs/>
                <w:color w:val="000000"/>
                <w:sz w:val="20"/>
                <w:szCs w:val="20"/>
              </w:rPr>
              <w:t>20.005</w:t>
            </w:r>
          </w:p>
        </w:tc>
      </w:tr>
    </w:tbl>
    <w:p w14:paraId="1C81D83F" w14:textId="77777777" w:rsidR="00910AE2" w:rsidRPr="003234C5" w:rsidRDefault="00910AE2"/>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gridCol w:w="1843"/>
        <w:gridCol w:w="1559"/>
      </w:tblGrid>
      <w:tr w:rsidR="00001AB3" w:rsidRPr="003234C5" w14:paraId="7C4B1EC7" w14:textId="77777777" w:rsidTr="00D834A9">
        <w:trPr>
          <w:trHeight w:val="227"/>
        </w:trPr>
        <w:tc>
          <w:tcPr>
            <w:tcW w:w="5670" w:type="dxa"/>
            <w:shd w:val="clear" w:color="auto" w:fill="C0C0C0"/>
            <w:vAlign w:val="center"/>
          </w:tcPr>
          <w:p w14:paraId="3DEC3FBD" w14:textId="77777777" w:rsidR="00001AB3" w:rsidRPr="003234C5" w:rsidRDefault="00001AB3" w:rsidP="00001AB3">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NÃO CIRCULANTE</w:t>
            </w:r>
          </w:p>
        </w:tc>
        <w:tc>
          <w:tcPr>
            <w:tcW w:w="1843" w:type="dxa"/>
            <w:shd w:val="clear" w:color="auto" w:fill="C0C0C0"/>
          </w:tcPr>
          <w:p w14:paraId="2B560DDA" w14:textId="70A42D6A" w:rsidR="00001AB3" w:rsidRPr="003234C5" w:rsidRDefault="00C6257E" w:rsidP="00001AB3">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559" w:type="dxa"/>
            <w:shd w:val="clear" w:color="auto" w:fill="C0C0C0"/>
            <w:vAlign w:val="center"/>
          </w:tcPr>
          <w:p w14:paraId="1F5E3605" w14:textId="0203C8C2" w:rsidR="00001AB3" w:rsidRPr="003234C5" w:rsidRDefault="00C6257E" w:rsidP="00001AB3">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491426" w:rsidRPr="003234C5" w14:paraId="2A16DC21" w14:textId="77777777" w:rsidTr="00D834A9">
        <w:trPr>
          <w:trHeight w:val="227"/>
        </w:trPr>
        <w:tc>
          <w:tcPr>
            <w:tcW w:w="5670" w:type="dxa"/>
            <w:shd w:val="clear" w:color="auto" w:fill="FFFFFF" w:themeFill="background1"/>
            <w:vAlign w:val="bottom"/>
          </w:tcPr>
          <w:p w14:paraId="68E8A4A3" w14:textId="21480374" w:rsidR="00491426" w:rsidRPr="00D725C9" w:rsidRDefault="00D725C9" w:rsidP="00D725C9">
            <w:pPr>
              <w:suppressAutoHyphens w:val="0"/>
              <w:spacing w:after="0" w:line="240" w:lineRule="auto"/>
              <w:jc w:val="both"/>
              <w:rPr>
                <w:rFonts w:ascii="Arial" w:eastAsia="Times New Roman" w:hAnsi="Arial" w:cs="Arial"/>
                <w:color w:val="000000"/>
                <w:kern w:val="0"/>
                <w:sz w:val="20"/>
                <w:szCs w:val="20"/>
                <w:lang w:eastAsia="pt-BR"/>
              </w:rPr>
            </w:pPr>
            <w:r>
              <w:rPr>
                <w:rFonts w:ascii="Arial" w:hAnsi="Arial" w:cs="Arial"/>
                <w:color w:val="000000"/>
                <w:sz w:val="20"/>
                <w:szCs w:val="20"/>
              </w:rPr>
              <w:t>Petrobras Distribuidora S/A</w:t>
            </w:r>
          </w:p>
        </w:tc>
        <w:tc>
          <w:tcPr>
            <w:tcW w:w="1843" w:type="dxa"/>
            <w:shd w:val="clear" w:color="auto" w:fill="FFFFFF" w:themeFill="background1"/>
            <w:vAlign w:val="center"/>
          </w:tcPr>
          <w:p w14:paraId="4000F43B" w14:textId="55A76531" w:rsidR="00491426" w:rsidRPr="003234C5" w:rsidRDefault="00636553" w:rsidP="00491426">
            <w:pPr>
              <w:spacing w:after="0"/>
              <w:jc w:val="right"/>
              <w:rPr>
                <w:rFonts w:ascii="Arial" w:hAnsi="Arial" w:cs="Arial"/>
                <w:sz w:val="20"/>
                <w:szCs w:val="20"/>
              </w:rPr>
            </w:pPr>
            <w:r>
              <w:rPr>
                <w:rFonts w:ascii="Arial" w:hAnsi="Arial" w:cs="Arial"/>
                <w:sz w:val="20"/>
                <w:szCs w:val="20"/>
              </w:rPr>
              <w:t>13.516</w:t>
            </w:r>
          </w:p>
        </w:tc>
        <w:tc>
          <w:tcPr>
            <w:tcW w:w="1559" w:type="dxa"/>
            <w:shd w:val="clear" w:color="auto" w:fill="FFFFFF" w:themeFill="background1"/>
            <w:vAlign w:val="center"/>
          </w:tcPr>
          <w:p w14:paraId="7FA64E4D" w14:textId="49BC665C" w:rsidR="00491426" w:rsidRPr="003234C5" w:rsidRDefault="003E15E6" w:rsidP="00491426">
            <w:pPr>
              <w:spacing w:after="0"/>
              <w:jc w:val="right"/>
              <w:rPr>
                <w:rFonts w:ascii="Arial" w:hAnsi="Arial" w:cs="Arial"/>
                <w:sz w:val="20"/>
                <w:szCs w:val="20"/>
              </w:rPr>
            </w:pPr>
            <w:r>
              <w:rPr>
                <w:rFonts w:ascii="Arial" w:hAnsi="Arial" w:cs="Arial"/>
                <w:sz w:val="20"/>
                <w:szCs w:val="20"/>
              </w:rPr>
              <w:t>-</w:t>
            </w:r>
          </w:p>
        </w:tc>
      </w:tr>
      <w:tr w:rsidR="003E15E6" w:rsidRPr="003234C5" w14:paraId="47808856" w14:textId="77777777" w:rsidTr="00D834A9">
        <w:trPr>
          <w:trHeight w:val="227"/>
        </w:trPr>
        <w:tc>
          <w:tcPr>
            <w:tcW w:w="5670" w:type="dxa"/>
            <w:shd w:val="clear" w:color="auto" w:fill="FFFFFF" w:themeFill="background1"/>
            <w:vAlign w:val="bottom"/>
          </w:tcPr>
          <w:p w14:paraId="268F1089" w14:textId="4597EF31" w:rsidR="003E15E6" w:rsidRDefault="003E15E6" w:rsidP="003E15E6">
            <w:pPr>
              <w:suppressAutoHyphens w:val="0"/>
              <w:spacing w:after="0" w:line="240" w:lineRule="auto"/>
              <w:jc w:val="both"/>
              <w:rPr>
                <w:rFonts w:ascii="Arial" w:hAnsi="Arial" w:cs="Arial"/>
                <w:color w:val="000000"/>
                <w:sz w:val="20"/>
                <w:szCs w:val="20"/>
              </w:rPr>
            </w:pPr>
            <w:r w:rsidRPr="00580503">
              <w:rPr>
                <w:rFonts w:ascii="Arial" w:hAnsi="Arial" w:cs="Arial"/>
                <w:color w:val="000000" w:themeColor="text1"/>
                <w:sz w:val="20"/>
                <w:szCs w:val="20"/>
              </w:rPr>
              <w:t>Shell Brasil Ltda</w:t>
            </w:r>
          </w:p>
        </w:tc>
        <w:tc>
          <w:tcPr>
            <w:tcW w:w="1843" w:type="dxa"/>
            <w:shd w:val="clear" w:color="auto" w:fill="FFFFFF" w:themeFill="background1"/>
            <w:vAlign w:val="center"/>
          </w:tcPr>
          <w:p w14:paraId="597A228C" w14:textId="70C01652" w:rsidR="003E15E6" w:rsidRDefault="003E15E6" w:rsidP="003E15E6">
            <w:pPr>
              <w:spacing w:after="0"/>
              <w:jc w:val="right"/>
              <w:rPr>
                <w:rFonts w:ascii="Arial" w:hAnsi="Arial" w:cs="Arial"/>
                <w:sz w:val="20"/>
                <w:szCs w:val="20"/>
              </w:rPr>
            </w:pPr>
            <w:r>
              <w:rPr>
                <w:rFonts w:ascii="Arial" w:hAnsi="Arial" w:cs="Arial"/>
                <w:sz w:val="20"/>
                <w:szCs w:val="20"/>
              </w:rPr>
              <w:t>8.534</w:t>
            </w:r>
          </w:p>
        </w:tc>
        <w:tc>
          <w:tcPr>
            <w:tcW w:w="1559" w:type="dxa"/>
            <w:shd w:val="clear" w:color="auto" w:fill="FFFFFF" w:themeFill="background1"/>
            <w:vAlign w:val="center"/>
          </w:tcPr>
          <w:p w14:paraId="3D8C3957" w14:textId="642710CD" w:rsidR="003E15E6" w:rsidRPr="003234C5" w:rsidRDefault="003E15E6" w:rsidP="003E15E6">
            <w:pPr>
              <w:spacing w:after="0"/>
              <w:jc w:val="right"/>
              <w:rPr>
                <w:rFonts w:ascii="Arial" w:hAnsi="Arial" w:cs="Arial"/>
                <w:color w:val="000000"/>
                <w:sz w:val="20"/>
                <w:szCs w:val="20"/>
              </w:rPr>
            </w:pPr>
            <w:r w:rsidRPr="003234C5">
              <w:rPr>
                <w:rFonts w:ascii="Arial" w:hAnsi="Arial" w:cs="Arial"/>
                <w:color w:val="000000"/>
                <w:sz w:val="20"/>
                <w:szCs w:val="20"/>
              </w:rPr>
              <w:t>8.534</w:t>
            </w:r>
          </w:p>
        </w:tc>
      </w:tr>
      <w:tr w:rsidR="003E15E6" w:rsidRPr="003234C5" w14:paraId="22B250B7" w14:textId="77777777" w:rsidTr="00D834A9">
        <w:trPr>
          <w:trHeight w:val="227"/>
        </w:trPr>
        <w:tc>
          <w:tcPr>
            <w:tcW w:w="5670" w:type="dxa"/>
            <w:shd w:val="clear" w:color="auto" w:fill="FFFFFF" w:themeFill="background1"/>
            <w:vAlign w:val="bottom"/>
          </w:tcPr>
          <w:p w14:paraId="4A07B714" w14:textId="14253ABB" w:rsidR="003E15E6" w:rsidRPr="00580503" w:rsidRDefault="003E15E6" w:rsidP="003E15E6">
            <w:pPr>
              <w:spacing w:after="0"/>
              <w:jc w:val="both"/>
              <w:rPr>
                <w:rFonts w:ascii="Arial" w:hAnsi="Arial" w:cs="Arial"/>
                <w:color w:val="000000" w:themeColor="text1"/>
                <w:sz w:val="20"/>
                <w:szCs w:val="20"/>
              </w:rPr>
            </w:pPr>
            <w:r w:rsidRPr="00580503">
              <w:rPr>
                <w:rFonts w:ascii="Arial" w:hAnsi="Arial" w:cs="Arial"/>
                <w:color w:val="000000" w:themeColor="text1"/>
                <w:sz w:val="20"/>
                <w:szCs w:val="20"/>
              </w:rPr>
              <w:t>Santana Têxtil S/A</w:t>
            </w:r>
          </w:p>
        </w:tc>
        <w:tc>
          <w:tcPr>
            <w:tcW w:w="1843" w:type="dxa"/>
            <w:shd w:val="clear" w:color="auto" w:fill="FFFFFF" w:themeFill="background1"/>
            <w:vAlign w:val="center"/>
          </w:tcPr>
          <w:p w14:paraId="250752FC" w14:textId="734AE3FC" w:rsidR="003E15E6" w:rsidRPr="003234C5" w:rsidRDefault="003E15E6" w:rsidP="003E15E6">
            <w:pPr>
              <w:spacing w:after="0"/>
              <w:jc w:val="right"/>
              <w:rPr>
                <w:rFonts w:ascii="Arial" w:hAnsi="Arial" w:cs="Arial"/>
                <w:sz w:val="20"/>
                <w:szCs w:val="20"/>
              </w:rPr>
            </w:pPr>
            <w:r>
              <w:rPr>
                <w:rFonts w:ascii="Arial" w:hAnsi="Arial" w:cs="Arial"/>
                <w:sz w:val="20"/>
                <w:szCs w:val="20"/>
              </w:rPr>
              <w:t>852</w:t>
            </w:r>
          </w:p>
        </w:tc>
        <w:tc>
          <w:tcPr>
            <w:tcW w:w="1559" w:type="dxa"/>
            <w:shd w:val="clear" w:color="auto" w:fill="FFFFFF" w:themeFill="background1"/>
            <w:vAlign w:val="center"/>
          </w:tcPr>
          <w:p w14:paraId="2507436C" w14:textId="100E0E7A" w:rsidR="003E15E6" w:rsidRPr="003234C5" w:rsidRDefault="003E15E6" w:rsidP="003E15E6">
            <w:pPr>
              <w:spacing w:after="0"/>
              <w:jc w:val="right"/>
              <w:rPr>
                <w:rFonts w:ascii="Arial" w:hAnsi="Arial" w:cs="Arial"/>
                <w:sz w:val="20"/>
                <w:szCs w:val="20"/>
              </w:rPr>
            </w:pPr>
            <w:r w:rsidRPr="003234C5">
              <w:rPr>
                <w:rFonts w:ascii="Arial" w:hAnsi="Arial" w:cs="Arial"/>
                <w:color w:val="000000"/>
                <w:sz w:val="20"/>
                <w:szCs w:val="20"/>
              </w:rPr>
              <w:t>852</w:t>
            </w:r>
          </w:p>
        </w:tc>
      </w:tr>
      <w:tr w:rsidR="003E15E6" w:rsidRPr="003234C5" w14:paraId="3DAFEC91" w14:textId="77777777" w:rsidTr="00D834A9">
        <w:trPr>
          <w:trHeight w:val="227"/>
        </w:trPr>
        <w:tc>
          <w:tcPr>
            <w:tcW w:w="5670" w:type="dxa"/>
            <w:shd w:val="clear" w:color="auto" w:fill="FFFFFF" w:themeFill="background1"/>
            <w:vAlign w:val="bottom"/>
          </w:tcPr>
          <w:p w14:paraId="2DCF4516" w14:textId="68FB0BF6" w:rsidR="003E15E6" w:rsidRPr="00580503" w:rsidRDefault="00C63D6D" w:rsidP="003E15E6">
            <w:pPr>
              <w:spacing w:after="0"/>
              <w:jc w:val="both"/>
              <w:rPr>
                <w:rFonts w:ascii="Arial" w:hAnsi="Arial" w:cs="Arial"/>
                <w:color w:val="000000" w:themeColor="text1"/>
                <w:sz w:val="20"/>
                <w:szCs w:val="20"/>
              </w:rPr>
            </w:pPr>
            <w:proofErr w:type="spellStart"/>
            <w:r>
              <w:rPr>
                <w:rFonts w:ascii="Arial" w:hAnsi="Arial" w:cs="Arial"/>
                <w:color w:val="000000" w:themeColor="text1"/>
                <w:sz w:val="20"/>
                <w:szCs w:val="20"/>
              </w:rPr>
              <w:t>Cauipe</w:t>
            </w:r>
            <w:proofErr w:type="spellEnd"/>
            <w:r>
              <w:rPr>
                <w:rFonts w:ascii="Arial" w:hAnsi="Arial" w:cs="Arial"/>
                <w:color w:val="000000" w:themeColor="text1"/>
                <w:sz w:val="20"/>
                <w:szCs w:val="20"/>
              </w:rPr>
              <w:t xml:space="preserve"> Geradora de Energia S/A</w:t>
            </w:r>
          </w:p>
        </w:tc>
        <w:tc>
          <w:tcPr>
            <w:tcW w:w="1843" w:type="dxa"/>
            <w:shd w:val="clear" w:color="auto" w:fill="FFFFFF" w:themeFill="background1"/>
            <w:vAlign w:val="center"/>
          </w:tcPr>
          <w:p w14:paraId="039A3736" w14:textId="323D5AA0" w:rsidR="003E15E6" w:rsidRPr="003234C5" w:rsidRDefault="001E43E8" w:rsidP="003E15E6">
            <w:pPr>
              <w:spacing w:after="0"/>
              <w:jc w:val="right"/>
              <w:rPr>
                <w:rFonts w:ascii="Arial" w:hAnsi="Arial" w:cs="Arial"/>
                <w:sz w:val="20"/>
                <w:szCs w:val="20"/>
              </w:rPr>
            </w:pPr>
            <w:r>
              <w:rPr>
                <w:rFonts w:ascii="Arial" w:hAnsi="Arial" w:cs="Arial"/>
                <w:sz w:val="20"/>
                <w:szCs w:val="20"/>
              </w:rPr>
              <w:t>558</w:t>
            </w:r>
          </w:p>
        </w:tc>
        <w:tc>
          <w:tcPr>
            <w:tcW w:w="1559" w:type="dxa"/>
            <w:shd w:val="clear" w:color="auto" w:fill="FFFFFF" w:themeFill="background1"/>
            <w:vAlign w:val="center"/>
          </w:tcPr>
          <w:p w14:paraId="4E44BA67" w14:textId="1B954B6E" w:rsidR="003E15E6" w:rsidRPr="003234C5" w:rsidRDefault="003E15E6" w:rsidP="003E15E6">
            <w:pPr>
              <w:spacing w:after="0"/>
              <w:jc w:val="right"/>
              <w:rPr>
                <w:rFonts w:ascii="Arial" w:hAnsi="Arial" w:cs="Arial"/>
                <w:sz w:val="20"/>
                <w:szCs w:val="20"/>
              </w:rPr>
            </w:pPr>
            <w:r w:rsidRPr="003234C5">
              <w:rPr>
                <w:rFonts w:ascii="Arial" w:hAnsi="Arial" w:cs="Arial"/>
                <w:color w:val="000000"/>
                <w:sz w:val="20"/>
                <w:szCs w:val="20"/>
              </w:rPr>
              <w:t>558</w:t>
            </w:r>
          </w:p>
        </w:tc>
      </w:tr>
      <w:tr w:rsidR="003E15E6" w:rsidRPr="003234C5" w14:paraId="728033E4" w14:textId="77777777" w:rsidTr="00D834A9">
        <w:trPr>
          <w:trHeight w:val="227"/>
        </w:trPr>
        <w:tc>
          <w:tcPr>
            <w:tcW w:w="5670" w:type="dxa"/>
            <w:shd w:val="clear" w:color="auto" w:fill="FFFFFF" w:themeFill="background1"/>
            <w:vAlign w:val="bottom"/>
          </w:tcPr>
          <w:p w14:paraId="211346C7" w14:textId="171B752B" w:rsidR="003E15E6" w:rsidRPr="00580503" w:rsidRDefault="00825629" w:rsidP="003E15E6">
            <w:pPr>
              <w:spacing w:after="0"/>
              <w:jc w:val="both"/>
              <w:rPr>
                <w:rFonts w:ascii="Arial" w:hAnsi="Arial" w:cs="Arial"/>
                <w:sz w:val="20"/>
                <w:szCs w:val="20"/>
              </w:rPr>
            </w:pPr>
            <w:r w:rsidRPr="00580503">
              <w:rPr>
                <w:rFonts w:ascii="Arial" w:hAnsi="Arial" w:cs="Arial"/>
                <w:sz w:val="20"/>
                <w:szCs w:val="20"/>
              </w:rPr>
              <w:t>Outros</w:t>
            </w:r>
          </w:p>
        </w:tc>
        <w:tc>
          <w:tcPr>
            <w:tcW w:w="1843" w:type="dxa"/>
            <w:shd w:val="clear" w:color="auto" w:fill="FFFFFF" w:themeFill="background1"/>
            <w:vAlign w:val="center"/>
          </w:tcPr>
          <w:p w14:paraId="7B8EFA6F" w14:textId="04C1DED7" w:rsidR="003E15E6" w:rsidRPr="003234C5" w:rsidRDefault="00CA4CB9" w:rsidP="003E15E6">
            <w:pPr>
              <w:spacing w:after="0"/>
              <w:jc w:val="right"/>
              <w:rPr>
                <w:rFonts w:ascii="Arial" w:hAnsi="Arial" w:cs="Arial"/>
                <w:sz w:val="20"/>
                <w:szCs w:val="20"/>
              </w:rPr>
            </w:pPr>
            <w:r>
              <w:rPr>
                <w:rFonts w:ascii="Arial" w:hAnsi="Arial" w:cs="Arial"/>
                <w:sz w:val="20"/>
                <w:szCs w:val="20"/>
              </w:rPr>
              <w:t>1.495</w:t>
            </w:r>
          </w:p>
        </w:tc>
        <w:tc>
          <w:tcPr>
            <w:tcW w:w="1559" w:type="dxa"/>
            <w:shd w:val="clear" w:color="auto" w:fill="FFFFFF" w:themeFill="background1"/>
            <w:vAlign w:val="center"/>
          </w:tcPr>
          <w:p w14:paraId="372A72BB" w14:textId="421C9057" w:rsidR="003E15E6" w:rsidRPr="003234C5" w:rsidRDefault="003E15E6" w:rsidP="003E15E6">
            <w:pPr>
              <w:spacing w:after="0"/>
              <w:jc w:val="right"/>
              <w:rPr>
                <w:rFonts w:ascii="Arial" w:hAnsi="Arial" w:cs="Arial"/>
                <w:sz w:val="20"/>
                <w:szCs w:val="20"/>
              </w:rPr>
            </w:pPr>
            <w:r w:rsidRPr="003234C5">
              <w:rPr>
                <w:rFonts w:ascii="Arial" w:hAnsi="Arial" w:cs="Arial"/>
                <w:color w:val="000000"/>
                <w:sz w:val="20"/>
                <w:szCs w:val="20"/>
              </w:rPr>
              <w:t>1.258</w:t>
            </w:r>
          </w:p>
        </w:tc>
      </w:tr>
      <w:tr w:rsidR="003E15E6" w:rsidRPr="003234C5" w14:paraId="31965F62" w14:textId="77777777" w:rsidTr="00D834A9">
        <w:trPr>
          <w:trHeight w:val="227"/>
        </w:trPr>
        <w:tc>
          <w:tcPr>
            <w:tcW w:w="5670" w:type="dxa"/>
            <w:shd w:val="clear" w:color="auto" w:fill="C0C0C0"/>
            <w:vAlign w:val="center"/>
          </w:tcPr>
          <w:p w14:paraId="3B53A85E" w14:textId="77777777" w:rsidR="003E15E6" w:rsidRPr="00580503" w:rsidRDefault="003E15E6" w:rsidP="003E15E6">
            <w:pPr>
              <w:spacing w:after="0"/>
              <w:jc w:val="both"/>
              <w:rPr>
                <w:rFonts w:ascii="Arial" w:hAnsi="Arial" w:cs="Arial"/>
                <w:sz w:val="20"/>
                <w:szCs w:val="20"/>
              </w:rPr>
            </w:pPr>
            <w:r w:rsidRPr="00580503">
              <w:rPr>
                <w:rFonts w:ascii="Arial" w:hAnsi="Arial" w:cs="Arial"/>
                <w:b/>
                <w:bCs/>
                <w:sz w:val="20"/>
                <w:szCs w:val="20"/>
              </w:rPr>
              <w:t>Subtotal</w:t>
            </w:r>
          </w:p>
        </w:tc>
        <w:tc>
          <w:tcPr>
            <w:tcW w:w="1843" w:type="dxa"/>
            <w:shd w:val="clear" w:color="auto" w:fill="C0C0C0"/>
            <w:vAlign w:val="center"/>
          </w:tcPr>
          <w:p w14:paraId="136EDF6A" w14:textId="7E899319" w:rsidR="003E15E6" w:rsidRPr="003234C5" w:rsidRDefault="003E15E6" w:rsidP="003E15E6">
            <w:pPr>
              <w:spacing w:after="0"/>
              <w:jc w:val="right"/>
              <w:rPr>
                <w:rFonts w:ascii="Arial" w:hAnsi="Arial" w:cs="Arial"/>
                <w:b/>
                <w:sz w:val="20"/>
                <w:szCs w:val="20"/>
              </w:rPr>
            </w:pPr>
            <w:r>
              <w:rPr>
                <w:rFonts w:ascii="Arial" w:hAnsi="Arial" w:cs="Arial"/>
                <w:b/>
                <w:sz w:val="20"/>
                <w:szCs w:val="20"/>
              </w:rPr>
              <w:t>24.955</w:t>
            </w:r>
          </w:p>
        </w:tc>
        <w:tc>
          <w:tcPr>
            <w:tcW w:w="1559" w:type="dxa"/>
            <w:shd w:val="clear" w:color="auto" w:fill="C0C0C0"/>
            <w:vAlign w:val="center"/>
          </w:tcPr>
          <w:p w14:paraId="1F7DA101" w14:textId="2766A11B" w:rsidR="003E15E6" w:rsidRPr="003234C5" w:rsidRDefault="003E15E6" w:rsidP="003E15E6">
            <w:pPr>
              <w:spacing w:after="0"/>
              <w:jc w:val="right"/>
              <w:rPr>
                <w:rFonts w:ascii="Arial" w:hAnsi="Arial" w:cs="Arial"/>
                <w:sz w:val="20"/>
                <w:szCs w:val="20"/>
              </w:rPr>
            </w:pPr>
            <w:r w:rsidRPr="003234C5">
              <w:rPr>
                <w:rFonts w:ascii="Arial" w:hAnsi="Arial" w:cs="Arial"/>
                <w:b/>
                <w:bCs/>
                <w:color w:val="000000"/>
                <w:sz w:val="20"/>
                <w:szCs w:val="20"/>
              </w:rPr>
              <w:t>11.202</w:t>
            </w:r>
          </w:p>
        </w:tc>
      </w:tr>
      <w:tr w:rsidR="003E15E6" w:rsidRPr="003234C5" w14:paraId="7B047D28" w14:textId="77777777" w:rsidTr="00D834A9">
        <w:trPr>
          <w:trHeight w:val="227"/>
        </w:trPr>
        <w:tc>
          <w:tcPr>
            <w:tcW w:w="5670" w:type="dxa"/>
            <w:shd w:val="clear" w:color="auto" w:fill="FFFFFF" w:themeFill="background1"/>
            <w:vAlign w:val="bottom"/>
          </w:tcPr>
          <w:p w14:paraId="70D5F908" w14:textId="63280EB3" w:rsidR="003E15E6" w:rsidRPr="00580503" w:rsidRDefault="003E15E6" w:rsidP="003E15E6">
            <w:pPr>
              <w:spacing w:after="0"/>
              <w:jc w:val="both"/>
              <w:rPr>
                <w:rFonts w:ascii="Arial" w:hAnsi="Arial" w:cs="Arial"/>
                <w:sz w:val="20"/>
                <w:szCs w:val="20"/>
              </w:rPr>
            </w:pPr>
            <w:r w:rsidRPr="00580503">
              <w:rPr>
                <w:rFonts w:ascii="Arial" w:hAnsi="Arial" w:cs="Arial"/>
                <w:sz w:val="20"/>
                <w:szCs w:val="20"/>
              </w:rPr>
              <w:t>(-) Perdas Estimadas no Recebimento de Créditos</w:t>
            </w:r>
          </w:p>
        </w:tc>
        <w:tc>
          <w:tcPr>
            <w:tcW w:w="1843" w:type="dxa"/>
            <w:shd w:val="clear" w:color="auto" w:fill="FFFFFF" w:themeFill="background1"/>
          </w:tcPr>
          <w:p w14:paraId="5BBF9E37" w14:textId="0433EF0B" w:rsidR="003E15E6" w:rsidRPr="003234C5" w:rsidRDefault="003E15E6" w:rsidP="003E15E6">
            <w:pPr>
              <w:spacing w:after="0"/>
              <w:jc w:val="right"/>
              <w:rPr>
                <w:rFonts w:ascii="Arial" w:hAnsi="Arial" w:cs="Arial"/>
                <w:sz w:val="20"/>
                <w:szCs w:val="20"/>
              </w:rPr>
            </w:pPr>
            <w:r>
              <w:rPr>
                <w:rFonts w:ascii="Arial" w:hAnsi="Arial" w:cs="Arial"/>
                <w:sz w:val="20"/>
                <w:szCs w:val="20"/>
              </w:rPr>
              <w:t>(1.940)</w:t>
            </w:r>
          </w:p>
        </w:tc>
        <w:tc>
          <w:tcPr>
            <w:tcW w:w="1559" w:type="dxa"/>
            <w:shd w:val="clear" w:color="auto" w:fill="FFFFFF" w:themeFill="background1"/>
          </w:tcPr>
          <w:p w14:paraId="61259CFD" w14:textId="30402A49" w:rsidR="003E15E6" w:rsidRPr="003234C5" w:rsidRDefault="003E15E6" w:rsidP="003E15E6">
            <w:pPr>
              <w:spacing w:after="0"/>
              <w:jc w:val="right"/>
              <w:rPr>
                <w:rFonts w:ascii="Arial" w:hAnsi="Arial" w:cs="Arial"/>
                <w:sz w:val="20"/>
                <w:szCs w:val="20"/>
              </w:rPr>
            </w:pPr>
            <w:r w:rsidRPr="003234C5">
              <w:rPr>
                <w:rFonts w:ascii="Arial" w:hAnsi="Arial" w:cs="Arial"/>
                <w:sz w:val="20"/>
                <w:szCs w:val="20"/>
              </w:rPr>
              <w:t>(1.806)</w:t>
            </w:r>
          </w:p>
        </w:tc>
      </w:tr>
      <w:tr w:rsidR="003E15E6" w:rsidRPr="003234C5" w14:paraId="40A9AB56" w14:textId="77777777" w:rsidTr="00D834A9">
        <w:trPr>
          <w:trHeight w:val="227"/>
        </w:trPr>
        <w:tc>
          <w:tcPr>
            <w:tcW w:w="5670" w:type="dxa"/>
            <w:shd w:val="clear" w:color="auto" w:fill="C0C0C0"/>
            <w:vAlign w:val="center"/>
          </w:tcPr>
          <w:p w14:paraId="76427345" w14:textId="77777777" w:rsidR="003E15E6" w:rsidRPr="003234C5" w:rsidRDefault="003E15E6" w:rsidP="003E15E6">
            <w:pPr>
              <w:spacing w:after="0"/>
              <w:jc w:val="both"/>
              <w:rPr>
                <w:rFonts w:ascii="Arial" w:hAnsi="Arial" w:cs="Arial"/>
                <w:color w:val="FF0000"/>
                <w:sz w:val="20"/>
                <w:szCs w:val="20"/>
              </w:rPr>
            </w:pPr>
            <w:r w:rsidRPr="003234C5">
              <w:rPr>
                <w:rFonts w:ascii="Arial" w:hAnsi="Arial" w:cs="Arial"/>
                <w:b/>
                <w:sz w:val="20"/>
                <w:szCs w:val="20"/>
              </w:rPr>
              <w:t>TOTAL</w:t>
            </w:r>
          </w:p>
        </w:tc>
        <w:tc>
          <w:tcPr>
            <w:tcW w:w="1843" w:type="dxa"/>
            <w:shd w:val="clear" w:color="auto" w:fill="C0C0C0"/>
            <w:vAlign w:val="center"/>
          </w:tcPr>
          <w:p w14:paraId="6E4D1520" w14:textId="0523D3C1" w:rsidR="003E15E6" w:rsidRPr="003234C5" w:rsidRDefault="003E15E6" w:rsidP="003E15E6">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23.015</w:t>
            </w:r>
          </w:p>
        </w:tc>
        <w:tc>
          <w:tcPr>
            <w:tcW w:w="1559" w:type="dxa"/>
            <w:shd w:val="clear" w:color="auto" w:fill="C0C0C0"/>
            <w:vAlign w:val="center"/>
          </w:tcPr>
          <w:p w14:paraId="1E305E98" w14:textId="22D4F016" w:rsidR="003E15E6" w:rsidRPr="003234C5" w:rsidRDefault="003E15E6" w:rsidP="003E15E6">
            <w:pPr>
              <w:spacing w:after="0"/>
              <w:jc w:val="right"/>
              <w:rPr>
                <w:rFonts w:ascii="Arial" w:hAnsi="Arial" w:cs="Arial"/>
                <w:sz w:val="20"/>
                <w:szCs w:val="20"/>
              </w:rPr>
            </w:pPr>
            <w:r w:rsidRPr="003234C5">
              <w:rPr>
                <w:rFonts w:ascii="Arial" w:hAnsi="Arial" w:cs="Arial"/>
                <w:b/>
                <w:bCs/>
                <w:color w:val="000000"/>
                <w:sz w:val="20"/>
                <w:szCs w:val="20"/>
              </w:rPr>
              <w:t>9.396</w:t>
            </w:r>
          </w:p>
        </w:tc>
      </w:tr>
    </w:tbl>
    <w:p w14:paraId="1D602ADF" w14:textId="2E06E432" w:rsidR="00F13F0B" w:rsidRDefault="00F13F0B" w:rsidP="006235C4">
      <w:pPr>
        <w:autoSpaceDE w:val="0"/>
        <w:autoSpaceDN w:val="0"/>
        <w:adjustRightInd w:val="0"/>
        <w:spacing w:before="120" w:after="120"/>
        <w:jc w:val="both"/>
        <w:rPr>
          <w:rFonts w:ascii="Arial" w:hAnsi="Arial" w:cs="Arial"/>
          <w:sz w:val="24"/>
          <w:szCs w:val="24"/>
        </w:rPr>
      </w:pPr>
    </w:p>
    <w:tbl>
      <w:tblPr>
        <w:tblStyle w:val="Tabelacomgrade"/>
        <w:tblW w:w="0" w:type="auto"/>
        <w:tblLook w:val="04A0" w:firstRow="1" w:lastRow="0" w:firstColumn="1" w:lastColumn="0" w:noHBand="0" w:noVBand="1"/>
      </w:tblPr>
      <w:tblGrid>
        <w:gridCol w:w="2265"/>
        <w:gridCol w:w="2265"/>
        <w:gridCol w:w="2265"/>
        <w:gridCol w:w="2266"/>
      </w:tblGrid>
      <w:tr w:rsidR="00C93240" w:rsidRPr="008C43B7" w14:paraId="30119A9B" w14:textId="77777777" w:rsidTr="008C71D1">
        <w:tc>
          <w:tcPr>
            <w:tcW w:w="9061" w:type="dxa"/>
            <w:gridSpan w:val="4"/>
            <w:shd w:val="clear" w:color="auto" w:fill="D0CECE" w:themeFill="background2" w:themeFillShade="E6"/>
          </w:tcPr>
          <w:p w14:paraId="2A7044F1" w14:textId="4AFCC929" w:rsidR="00C93240" w:rsidRPr="008C71D1" w:rsidRDefault="00C93240" w:rsidP="008C71D1">
            <w:pPr>
              <w:autoSpaceDE w:val="0"/>
              <w:autoSpaceDN w:val="0"/>
              <w:adjustRightInd w:val="0"/>
              <w:spacing w:after="0"/>
              <w:jc w:val="both"/>
              <w:rPr>
                <w:rFonts w:ascii="Arial" w:hAnsi="Arial" w:cs="Arial"/>
                <w:b/>
                <w:sz w:val="20"/>
                <w:szCs w:val="20"/>
              </w:rPr>
            </w:pPr>
            <w:r>
              <w:rPr>
                <w:rFonts w:ascii="Arial" w:hAnsi="Arial" w:cs="Arial"/>
                <w:b/>
                <w:sz w:val="20"/>
                <w:szCs w:val="20"/>
              </w:rPr>
              <w:t>QUADRO MOVIMENTAÇÃO PERDA DEVEDORES DUVIDOSOS - CIRCULANTE</w:t>
            </w:r>
          </w:p>
        </w:tc>
      </w:tr>
      <w:tr w:rsidR="008C43B7" w:rsidRPr="008C43B7" w14:paraId="6012858A" w14:textId="77777777" w:rsidTr="008C71D1">
        <w:tc>
          <w:tcPr>
            <w:tcW w:w="2265" w:type="dxa"/>
          </w:tcPr>
          <w:p w14:paraId="2E6509F8" w14:textId="327A6252" w:rsidR="008C43B7" w:rsidRPr="008C71D1" w:rsidRDefault="008C43B7" w:rsidP="008C71D1">
            <w:pPr>
              <w:autoSpaceDE w:val="0"/>
              <w:autoSpaceDN w:val="0"/>
              <w:adjustRightInd w:val="0"/>
              <w:spacing w:after="0"/>
              <w:rPr>
                <w:rFonts w:ascii="Arial" w:hAnsi="Arial" w:cs="Arial"/>
                <w:bCs/>
                <w:sz w:val="20"/>
                <w:szCs w:val="20"/>
              </w:rPr>
            </w:pPr>
            <w:r w:rsidRPr="008C71D1">
              <w:rPr>
                <w:rFonts w:ascii="Arial" w:hAnsi="Arial" w:cs="Arial"/>
                <w:bCs/>
                <w:sz w:val="20"/>
                <w:szCs w:val="20"/>
              </w:rPr>
              <w:t>Saldo em 2018</w:t>
            </w:r>
          </w:p>
        </w:tc>
        <w:tc>
          <w:tcPr>
            <w:tcW w:w="2265" w:type="dxa"/>
            <w:tcBorders>
              <w:top w:val="single" w:sz="4" w:space="0" w:color="auto"/>
            </w:tcBorders>
          </w:tcPr>
          <w:p w14:paraId="753C4AE1" w14:textId="02AA792E" w:rsidR="008C43B7" w:rsidRPr="008C71D1" w:rsidRDefault="008C43B7" w:rsidP="008C71D1">
            <w:pPr>
              <w:autoSpaceDE w:val="0"/>
              <w:autoSpaceDN w:val="0"/>
              <w:adjustRightInd w:val="0"/>
              <w:spacing w:after="0"/>
              <w:rPr>
                <w:rFonts w:ascii="Arial" w:hAnsi="Arial" w:cs="Arial"/>
                <w:bCs/>
                <w:sz w:val="20"/>
                <w:szCs w:val="20"/>
              </w:rPr>
            </w:pPr>
            <w:r w:rsidRPr="008C71D1">
              <w:rPr>
                <w:rFonts w:ascii="Arial" w:hAnsi="Arial" w:cs="Arial"/>
                <w:bCs/>
                <w:sz w:val="20"/>
                <w:szCs w:val="20"/>
              </w:rPr>
              <w:t>Adição</w:t>
            </w:r>
          </w:p>
        </w:tc>
        <w:tc>
          <w:tcPr>
            <w:tcW w:w="2265" w:type="dxa"/>
          </w:tcPr>
          <w:p w14:paraId="25118723" w14:textId="03ED55E5" w:rsidR="008C43B7" w:rsidRPr="008C71D1" w:rsidRDefault="009675CB" w:rsidP="008C71D1">
            <w:pPr>
              <w:autoSpaceDE w:val="0"/>
              <w:autoSpaceDN w:val="0"/>
              <w:adjustRightInd w:val="0"/>
              <w:spacing w:after="0"/>
              <w:rPr>
                <w:rFonts w:ascii="Arial" w:hAnsi="Arial" w:cs="Arial"/>
                <w:bCs/>
                <w:sz w:val="20"/>
                <w:szCs w:val="20"/>
              </w:rPr>
            </w:pPr>
            <w:r>
              <w:rPr>
                <w:rFonts w:ascii="Arial" w:hAnsi="Arial" w:cs="Arial"/>
                <w:bCs/>
                <w:sz w:val="20"/>
                <w:szCs w:val="20"/>
              </w:rPr>
              <w:t>Baixa</w:t>
            </w:r>
          </w:p>
        </w:tc>
        <w:tc>
          <w:tcPr>
            <w:tcW w:w="2266" w:type="dxa"/>
          </w:tcPr>
          <w:p w14:paraId="2C7A04AF" w14:textId="60372C95" w:rsidR="008C43B7" w:rsidRPr="008C71D1" w:rsidRDefault="008C43B7" w:rsidP="008C71D1">
            <w:pPr>
              <w:autoSpaceDE w:val="0"/>
              <w:autoSpaceDN w:val="0"/>
              <w:adjustRightInd w:val="0"/>
              <w:spacing w:after="0"/>
              <w:rPr>
                <w:rFonts w:ascii="Arial" w:hAnsi="Arial" w:cs="Arial"/>
                <w:b/>
                <w:sz w:val="20"/>
                <w:szCs w:val="20"/>
              </w:rPr>
            </w:pPr>
            <w:r w:rsidRPr="008C71D1">
              <w:rPr>
                <w:rFonts w:ascii="Arial" w:hAnsi="Arial" w:cs="Arial"/>
                <w:b/>
                <w:sz w:val="20"/>
                <w:szCs w:val="20"/>
              </w:rPr>
              <w:t>Saldo em 2019</w:t>
            </w:r>
          </w:p>
        </w:tc>
      </w:tr>
      <w:tr w:rsidR="008C43B7" w:rsidRPr="008C43B7" w14:paraId="22B66A7E" w14:textId="77777777" w:rsidTr="008C71D1">
        <w:tc>
          <w:tcPr>
            <w:tcW w:w="2265" w:type="dxa"/>
          </w:tcPr>
          <w:p w14:paraId="4C04A1A0" w14:textId="7C472A4A" w:rsidR="008C43B7" w:rsidRPr="008C71D1" w:rsidRDefault="008C43B7" w:rsidP="008C71D1">
            <w:pPr>
              <w:autoSpaceDE w:val="0"/>
              <w:autoSpaceDN w:val="0"/>
              <w:adjustRightInd w:val="0"/>
              <w:spacing w:after="0"/>
              <w:rPr>
                <w:rFonts w:ascii="Arial" w:hAnsi="Arial" w:cs="Arial"/>
                <w:bCs/>
                <w:sz w:val="20"/>
                <w:szCs w:val="20"/>
              </w:rPr>
            </w:pPr>
            <w:r w:rsidRPr="008C71D1">
              <w:rPr>
                <w:rFonts w:ascii="Arial" w:hAnsi="Arial" w:cs="Arial"/>
                <w:bCs/>
                <w:sz w:val="20"/>
                <w:szCs w:val="20"/>
              </w:rPr>
              <w:t>(42)</w:t>
            </w:r>
          </w:p>
        </w:tc>
        <w:tc>
          <w:tcPr>
            <w:tcW w:w="2265" w:type="dxa"/>
          </w:tcPr>
          <w:p w14:paraId="68B95D8D" w14:textId="3E5DEEB7" w:rsidR="008C43B7" w:rsidRPr="008C71D1" w:rsidRDefault="008C43B7" w:rsidP="008C71D1">
            <w:pPr>
              <w:autoSpaceDE w:val="0"/>
              <w:autoSpaceDN w:val="0"/>
              <w:adjustRightInd w:val="0"/>
              <w:spacing w:after="0"/>
              <w:rPr>
                <w:rFonts w:ascii="Arial" w:hAnsi="Arial" w:cs="Arial"/>
                <w:bCs/>
                <w:sz w:val="20"/>
                <w:szCs w:val="20"/>
              </w:rPr>
            </w:pPr>
            <w:r w:rsidRPr="008C71D1">
              <w:rPr>
                <w:rFonts w:ascii="Arial" w:hAnsi="Arial" w:cs="Arial"/>
                <w:bCs/>
                <w:sz w:val="20"/>
                <w:szCs w:val="20"/>
              </w:rPr>
              <w:t>(26)</w:t>
            </w:r>
          </w:p>
        </w:tc>
        <w:tc>
          <w:tcPr>
            <w:tcW w:w="2265" w:type="dxa"/>
          </w:tcPr>
          <w:p w14:paraId="2A46CFAD" w14:textId="577471DD" w:rsidR="008C43B7" w:rsidRPr="008C71D1" w:rsidRDefault="008C43B7" w:rsidP="008C71D1">
            <w:pPr>
              <w:autoSpaceDE w:val="0"/>
              <w:autoSpaceDN w:val="0"/>
              <w:adjustRightInd w:val="0"/>
              <w:spacing w:after="0"/>
              <w:rPr>
                <w:rFonts w:ascii="Arial" w:hAnsi="Arial" w:cs="Arial"/>
                <w:bCs/>
                <w:sz w:val="20"/>
                <w:szCs w:val="20"/>
              </w:rPr>
            </w:pPr>
            <w:r w:rsidRPr="008C71D1">
              <w:rPr>
                <w:rFonts w:ascii="Arial" w:hAnsi="Arial" w:cs="Arial"/>
                <w:bCs/>
                <w:sz w:val="20"/>
                <w:szCs w:val="20"/>
              </w:rPr>
              <w:t>14</w:t>
            </w:r>
          </w:p>
        </w:tc>
        <w:tc>
          <w:tcPr>
            <w:tcW w:w="2266" w:type="dxa"/>
          </w:tcPr>
          <w:p w14:paraId="7999F770" w14:textId="42F51634" w:rsidR="008C43B7" w:rsidRPr="008C71D1" w:rsidRDefault="008C43B7" w:rsidP="008C71D1">
            <w:pPr>
              <w:autoSpaceDE w:val="0"/>
              <w:autoSpaceDN w:val="0"/>
              <w:adjustRightInd w:val="0"/>
              <w:spacing w:after="0"/>
              <w:rPr>
                <w:rFonts w:ascii="Arial" w:hAnsi="Arial" w:cs="Arial"/>
                <w:bCs/>
                <w:sz w:val="20"/>
                <w:szCs w:val="20"/>
              </w:rPr>
            </w:pPr>
            <w:r w:rsidRPr="008C71D1">
              <w:rPr>
                <w:rFonts w:ascii="Arial" w:hAnsi="Arial" w:cs="Arial"/>
                <w:bCs/>
                <w:sz w:val="20"/>
                <w:szCs w:val="20"/>
              </w:rPr>
              <w:t>(54)</w:t>
            </w:r>
          </w:p>
        </w:tc>
      </w:tr>
    </w:tbl>
    <w:p w14:paraId="264BD910" w14:textId="409EA529" w:rsidR="008C43B7" w:rsidRDefault="008C43B7" w:rsidP="008C43B7">
      <w:pPr>
        <w:autoSpaceDE w:val="0"/>
        <w:autoSpaceDN w:val="0"/>
        <w:adjustRightInd w:val="0"/>
        <w:spacing w:after="0"/>
        <w:rPr>
          <w:rFonts w:ascii="Arial" w:hAnsi="Arial" w:cs="Arial"/>
          <w:bCs/>
          <w:sz w:val="20"/>
          <w:szCs w:val="20"/>
        </w:rPr>
      </w:pPr>
    </w:p>
    <w:tbl>
      <w:tblPr>
        <w:tblStyle w:val="Tabelacomgrade"/>
        <w:tblW w:w="0" w:type="auto"/>
        <w:tblLook w:val="04A0" w:firstRow="1" w:lastRow="0" w:firstColumn="1" w:lastColumn="0" w:noHBand="0" w:noVBand="1"/>
      </w:tblPr>
      <w:tblGrid>
        <w:gridCol w:w="2265"/>
        <w:gridCol w:w="2265"/>
        <w:gridCol w:w="2265"/>
        <w:gridCol w:w="2266"/>
      </w:tblGrid>
      <w:tr w:rsidR="00C93240" w:rsidRPr="00725D1C" w14:paraId="71144821" w14:textId="77777777" w:rsidTr="008C71D1">
        <w:tc>
          <w:tcPr>
            <w:tcW w:w="9061" w:type="dxa"/>
            <w:gridSpan w:val="4"/>
            <w:shd w:val="clear" w:color="auto" w:fill="D0CECE" w:themeFill="background2" w:themeFillShade="E6"/>
          </w:tcPr>
          <w:p w14:paraId="1298201A" w14:textId="02E7B544" w:rsidR="00C93240" w:rsidRPr="00725D1C" w:rsidRDefault="00C93240" w:rsidP="005823EC">
            <w:pPr>
              <w:autoSpaceDE w:val="0"/>
              <w:autoSpaceDN w:val="0"/>
              <w:adjustRightInd w:val="0"/>
              <w:spacing w:after="0"/>
              <w:jc w:val="both"/>
              <w:rPr>
                <w:rFonts w:ascii="Arial" w:hAnsi="Arial" w:cs="Arial"/>
                <w:b/>
                <w:sz w:val="20"/>
                <w:szCs w:val="20"/>
              </w:rPr>
            </w:pPr>
            <w:r>
              <w:rPr>
                <w:rFonts w:ascii="Arial" w:hAnsi="Arial" w:cs="Arial"/>
                <w:b/>
                <w:sz w:val="20"/>
                <w:szCs w:val="20"/>
              </w:rPr>
              <w:t>QUADRO MOVIMENTAÇÃO PERDA DEVEDORES DUVIDOSOS – NÃO CIRCULANTE</w:t>
            </w:r>
          </w:p>
        </w:tc>
      </w:tr>
      <w:tr w:rsidR="008C43B7" w:rsidRPr="00725D1C" w14:paraId="6FAD55C6" w14:textId="77777777" w:rsidTr="005823EC">
        <w:tc>
          <w:tcPr>
            <w:tcW w:w="2265" w:type="dxa"/>
          </w:tcPr>
          <w:p w14:paraId="32200D27" w14:textId="77777777" w:rsidR="008C43B7" w:rsidRPr="00725D1C" w:rsidRDefault="008C43B7" w:rsidP="005823EC">
            <w:pPr>
              <w:autoSpaceDE w:val="0"/>
              <w:autoSpaceDN w:val="0"/>
              <w:adjustRightInd w:val="0"/>
              <w:spacing w:after="0"/>
              <w:rPr>
                <w:rFonts w:ascii="Arial" w:hAnsi="Arial" w:cs="Arial"/>
                <w:bCs/>
                <w:sz w:val="20"/>
                <w:szCs w:val="20"/>
              </w:rPr>
            </w:pPr>
            <w:r w:rsidRPr="00725D1C">
              <w:rPr>
                <w:rFonts w:ascii="Arial" w:hAnsi="Arial" w:cs="Arial"/>
                <w:bCs/>
                <w:sz w:val="20"/>
                <w:szCs w:val="20"/>
              </w:rPr>
              <w:t>Saldo em 2018</w:t>
            </w:r>
          </w:p>
        </w:tc>
        <w:tc>
          <w:tcPr>
            <w:tcW w:w="2265" w:type="dxa"/>
            <w:tcBorders>
              <w:top w:val="single" w:sz="4" w:space="0" w:color="auto"/>
            </w:tcBorders>
          </w:tcPr>
          <w:p w14:paraId="12A5720E" w14:textId="77777777" w:rsidR="008C43B7" w:rsidRPr="00725D1C" w:rsidRDefault="008C43B7" w:rsidP="005823EC">
            <w:pPr>
              <w:autoSpaceDE w:val="0"/>
              <w:autoSpaceDN w:val="0"/>
              <w:adjustRightInd w:val="0"/>
              <w:spacing w:after="0"/>
              <w:rPr>
                <w:rFonts w:ascii="Arial" w:hAnsi="Arial" w:cs="Arial"/>
                <w:bCs/>
                <w:sz w:val="20"/>
                <w:szCs w:val="20"/>
              </w:rPr>
            </w:pPr>
            <w:r w:rsidRPr="00725D1C">
              <w:rPr>
                <w:rFonts w:ascii="Arial" w:hAnsi="Arial" w:cs="Arial"/>
                <w:bCs/>
                <w:sz w:val="20"/>
                <w:szCs w:val="20"/>
              </w:rPr>
              <w:t>Adição</w:t>
            </w:r>
          </w:p>
        </w:tc>
        <w:tc>
          <w:tcPr>
            <w:tcW w:w="2265" w:type="dxa"/>
          </w:tcPr>
          <w:p w14:paraId="7015313D" w14:textId="726B99F4" w:rsidR="008C43B7" w:rsidRPr="00725D1C" w:rsidRDefault="009675CB" w:rsidP="005823EC">
            <w:pPr>
              <w:autoSpaceDE w:val="0"/>
              <w:autoSpaceDN w:val="0"/>
              <w:adjustRightInd w:val="0"/>
              <w:spacing w:after="0"/>
              <w:rPr>
                <w:rFonts w:ascii="Arial" w:hAnsi="Arial" w:cs="Arial"/>
                <w:bCs/>
                <w:sz w:val="20"/>
                <w:szCs w:val="20"/>
              </w:rPr>
            </w:pPr>
            <w:r>
              <w:rPr>
                <w:rFonts w:ascii="Arial" w:hAnsi="Arial" w:cs="Arial"/>
                <w:bCs/>
                <w:sz w:val="20"/>
                <w:szCs w:val="20"/>
              </w:rPr>
              <w:t>Baixa</w:t>
            </w:r>
          </w:p>
        </w:tc>
        <w:tc>
          <w:tcPr>
            <w:tcW w:w="2266" w:type="dxa"/>
          </w:tcPr>
          <w:p w14:paraId="780EED2A" w14:textId="77777777" w:rsidR="008C43B7" w:rsidRPr="00725D1C" w:rsidRDefault="008C43B7" w:rsidP="005823EC">
            <w:pPr>
              <w:autoSpaceDE w:val="0"/>
              <w:autoSpaceDN w:val="0"/>
              <w:adjustRightInd w:val="0"/>
              <w:spacing w:after="0"/>
              <w:rPr>
                <w:rFonts w:ascii="Arial" w:hAnsi="Arial" w:cs="Arial"/>
                <w:b/>
                <w:sz w:val="20"/>
                <w:szCs w:val="20"/>
              </w:rPr>
            </w:pPr>
            <w:r w:rsidRPr="00725D1C">
              <w:rPr>
                <w:rFonts w:ascii="Arial" w:hAnsi="Arial" w:cs="Arial"/>
                <w:b/>
                <w:sz w:val="20"/>
                <w:szCs w:val="20"/>
              </w:rPr>
              <w:t>Saldo em 2019</w:t>
            </w:r>
          </w:p>
        </w:tc>
      </w:tr>
      <w:tr w:rsidR="008C43B7" w:rsidRPr="00725D1C" w14:paraId="707E8C27" w14:textId="77777777" w:rsidTr="005823EC">
        <w:tc>
          <w:tcPr>
            <w:tcW w:w="2265" w:type="dxa"/>
          </w:tcPr>
          <w:p w14:paraId="67C06DF6" w14:textId="7D681E3F" w:rsidR="008C43B7" w:rsidRPr="00725D1C" w:rsidRDefault="008C43B7" w:rsidP="005823EC">
            <w:pPr>
              <w:autoSpaceDE w:val="0"/>
              <w:autoSpaceDN w:val="0"/>
              <w:adjustRightInd w:val="0"/>
              <w:spacing w:after="0"/>
              <w:rPr>
                <w:rFonts w:ascii="Arial" w:hAnsi="Arial" w:cs="Arial"/>
                <w:bCs/>
                <w:sz w:val="20"/>
                <w:szCs w:val="20"/>
              </w:rPr>
            </w:pPr>
            <w:r w:rsidRPr="00725D1C">
              <w:rPr>
                <w:rFonts w:ascii="Arial" w:hAnsi="Arial" w:cs="Arial"/>
                <w:bCs/>
                <w:sz w:val="20"/>
                <w:szCs w:val="20"/>
              </w:rPr>
              <w:t>(</w:t>
            </w:r>
            <w:r>
              <w:rPr>
                <w:rFonts w:ascii="Arial" w:hAnsi="Arial" w:cs="Arial"/>
                <w:bCs/>
                <w:sz w:val="20"/>
                <w:szCs w:val="20"/>
              </w:rPr>
              <w:t>1806</w:t>
            </w:r>
            <w:r w:rsidRPr="00725D1C">
              <w:rPr>
                <w:rFonts w:ascii="Arial" w:hAnsi="Arial" w:cs="Arial"/>
                <w:bCs/>
                <w:sz w:val="20"/>
                <w:szCs w:val="20"/>
              </w:rPr>
              <w:t>)</w:t>
            </w:r>
          </w:p>
        </w:tc>
        <w:tc>
          <w:tcPr>
            <w:tcW w:w="2265" w:type="dxa"/>
          </w:tcPr>
          <w:p w14:paraId="5C4758E6" w14:textId="3426900D" w:rsidR="008C43B7" w:rsidRPr="00725D1C" w:rsidRDefault="008C43B7" w:rsidP="005823EC">
            <w:pPr>
              <w:autoSpaceDE w:val="0"/>
              <w:autoSpaceDN w:val="0"/>
              <w:adjustRightInd w:val="0"/>
              <w:spacing w:after="0"/>
              <w:rPr>
                <w:rFonts w:ascii="Arial" w:hAnsi="Arial" w:cs="Arial"/>
                <w:bCs/>
                <w:sz w:val="20"/>
                <w:szCs w:val="20"/>
              </w:rPr>
            </w:pPr>
            <w:r w:rsidRPr="00725D1C">
              <w:rPr>
                <w:rFonts w:ascii="Arial" w:hAnsi="Arial" w:cs="Arial"/>
                <w:bCs/>
                <w:sz w:val="20"/>
                <w:szCs w:val="20"/>
              </w:rPr>
              <w:t>(</w:t>
            </w:r>
            <w:r>
              <w:rPr>
                <w:rFonts w:ascii="Arial" w:hAnsi="Arial" w:cs="Arial"/>
                <w:bCs/>
                <w:sz w:val="20"/>
                <w:szCs w:val="20"/>
              </w:rPr>
              <w:t>139</w:t>
            </w:r>
            <w:r w:rsidRPr="00725D1C">
              <w:rPr>
                <w:rFonts w:ascii="Arial" w:hAnsi="Arial" w:cs="Arial"/>
                <w:bCs/>
                <w:sz w:val="20"/>
                <w:szCs w:val="20"/>
              </w:rPr>
              <w:t>)</w:t>
            </w:r>
          </w:p>
        </w:tc>
        <w:tc>
          <w:tcPr>
            <w:tcW w:w="2265" w:type="dxa"/>
          </w:tcPr>
          <w:p w14:paraId="382A43ED" w14:textId="47E1C197" w:rsidR="008C43B7" w:rsidRPr="00725D1C" w:rsidRDefault="00C93240" w:rsidP="005823EC">
            <w:pPr>
              <w:autoSpaceDE w:val="0"/>
              <w:autoSpaceDN w:val="0"/>
              <w:adjustRightInd w:val="0"/>
              <w:spacing w:after="0"/>
              <w:rPr>
                <w:rFonts w:ascii="Arial" w:hAnsi="Arial" w:cs="Arial"/>
                <w:bCs/>
                <w:sz w:val="20"/>
                <w:szCs w:val="20"/>
              </w:rPr>
            </w:pPr>
            <w:r>
              <w:rPr>
                <w:rFonts w:ascii="Arial" w:hAnsi="Arial" w:cs="Arial"/>
                <w:bCs/>
                <w:sz w:val="20"/>
                <w:szCs w:val="20"/>
              </w:rPr>
              <w:t>5</w:t>
            </w:r>
          </w:p>
        </w:tc>
        <w:tc>
          <w:tcPr>
            <w:tcW w:w="2266" w:type="dxa"/>
          </w:tcPr>
          <w:p w14:paraId="487CA2CE" w14:textId="732FE329" w:rsidR="008C43B7" w:rsidRPr="00725D1C" w:rsidRDefault="008C43B7" w:rsidP="005823EC">
            <w:pPr>
              <w:autoSpaceDE w:val="0"/>
              <w:autoSpaceDN w:val="0"/>
              <w:adjustRightInd w:val="0"/>
              <w:spacing w:after="0"/>
              <w:rPr>
                <w:rFonts w:ascii="Arial" w:hAnsi="Arial" w:cs="Arial"/>
                <w:bCs/>
                <w:sz w:val="20"/>
                <w:szCs w:val="20"/>
              </w:rPr>
            </w:pPr>
            <w:r w:rsidRPr="00725D1C">
              <w:rPr>
                <w:rFonts w:ascii="Arial" w:hAnsi="Arial" w:cs="Arial"/>
                <w:bCs/>
                <w:sz w:val="20"/>
                <w:szCs w:val="20"/>
              </w:rPr>
              <w:t>(</w:t>
            </w:r>
            <w:r w:rsidR="00C93240">
              <w:rPr>
                <w:rFonts w:ascii="Arial" w:hAnsi="Arial" w:cs="Arial"/>
                <w:bCs/>
                <w:sz w:val="20"/>
                <w:szCs w:val="20"/>
              </w:rPr>
              <w:t>1940</w:t>
            </w:r>
            <w:r w:rsidRPr="00725D1C">
              <w:rPr>
                <w:rFonts w:ascii="Arial" w:hAnsi="Arial" w:cs="Arial"/>
                <w:bCs/>
                <w:sz w:val="20"/>
                <w:szCs w:val="20"/>
              </w:rPr>
              <w:t>)</w:t>
            </w:r>
          </w:p>
        </w:tc>
      </w:tr>
    </w:tbl>
    <w:p w14:paraId="2132DE0D" w14:textId="77777777" w:rsidR="008C43B7" w:rsidRPr="008C71D1" w:rsidRDefault="008C43B7" w:rsidP="008C71D1">
      <w:pPr>
        <w:autoSpaceDE w:val="0"/>
        <w:autoSpaceDN w:val="0"/>
        <w:adjustRightInd w:val="0"/>
        <w:spacing w:after="0"/>
        <w:rPr>
          <w:rFonts w:ascii="Arial" w:hAnsi="Arial" w:cs="Arial"/>
          <w:bCs/>
          <w:sz w:val="20"/>
          <w:szCs w:val="20"/>
        </w:rPr>
      </w:pPr>
    </w:p>
    <w:p w14:paraId="6083DF1B" w14:textId="7859856A" w:rsidR="00200682" w:rsidRPr="003234C5" w:rsidRDefault="00200682" w:rsidP="006235C4">
      <w:pPr>
        <w:autoSpaceDE w:val="0"/>
        <w:autoSpaceDN w:val="0"/>
        <w:adjustRightInd w:val="0"/>
        <w:spacing w:before="120" w:after="120"/>
        <w:jc w:val="both"/>
        <w:rPr>
          <w:rFonts w:ascii="Arial" w:hAnsi="Arial" w:cs="Arial"/>
        </w:rPr>
      </w:pPr>
      <w:r w:rsidRPr="003234C5">
        <w:rPr>
          <w:rFonts w:ascii="Arial" w:hAnsi="Arial" w:cs="Arial"/>
        </w:rPr>
        <w:t xml:space="preserve">O risco de crédito das contas a receber advém </w:t>
      </w:r>
      <w:proofErr w:type="gramStart"/>
      <w:r w:rsidR="00287F55" w:rsidRPr="003234C5">
        <w:rPr>
          <w:rFonts w:ascii="Arial" w:hAnsi="Arial" w:cs="Arial"/>
        </w:rPr>
        <w:t>da</w:t>
      </w:r>
      <w:proofErr w:type="gramEnd"/>
      <w:r w:rsidRPr="003234C5">
        <w:rPr>
          <w:rFonts w:ascii="Arial" w:hAnsi="Arial" w:cs="Arial"/>
        </w:rPr>
        <w:t xml:space="preserve"> possibilidade da Companhia não receber valores decorrentes de operações de vendas. Para atenuar esse risco, a Companhia adota como prática a análise da situação patrimonial e financeira de seus clientes, e o acompanhamento permanente do seu saldo devedor. </w:t>
      </w:r>
      <w:r w:rsidR="00965B87" w:rsidRPr="003234C5">
        <w:rPr>
          <w:rFonts w:ascii="Arial" w:hAnsi="Arial" w:cs="Arial"/>
        </w:rPr>
        <w:t>O</w:t>
      </w:r>
      <w:r w:rsidRPr="003234C5">
        <w:rPr>
          <w:rFonts w:ascii="Arial" w:hAnsi="Arial" w:cs="Arial"/>
        </w:rPr>
        <w:t xml:space="preserve"> prazo médio de recebimento das vendas </w:t>
      </w:r>
      <w:r w:rsidR="00965B87" w:rsidRPr="003234C5">
        <w:rPr>
          <w:rFonts w:ascii="Arial" w:hAnsi="Arial" w:cs="Arial"/>
        </w:rPr>
        <w:t xml:space="preserve">é </w:t>
      </w:r>
      <w:r w:rsidRPr="003234C5">
        <w:rPr>
          <w:rFonts w:ascii="Arial" w:hAnsi="Arial" w:cs="Arial"/>
        </w:rPr>
        <w:t xml:space="preserve">de </w:t>
      </w:r>
      <w:r w:rsidR="00EC375A" w:rsidRPr="003234C5">
        <w:rPr>
          <w:rFonts w:ascii="Arial" w:hAnsi="Arial" w:cs="Arial"/>
        </w:rPr>
        <w:t>16 (dezesseis) dias.</w:t>
      </w:r>
    </w:p>
    <w:p w14:paraId="3E12EBDF" w14:textId="3D394CE3" w:rsidR="00200682" w:rsidRPr="003234C5" w:rsidRDefault="00AC099D" w:rsidP="006235C4">
      <w:pPr>
        <w:autoSpaceDE w:val="0"/>
        <w:autoSpaceDN w:val="0"/>
        <w:adjustRightInd w:val="0"/>
        <w:spacing w:after="120"/>
        <w:jc w:val="both"/>
        <w:rPr>
          <w:rFonts w:ascii="Arial" w:hAnsi="Arial" w:cs="Arial"/>
        </w:rPr>
      </w:pPr>
      <w:r w:rsidRPr="003234C5">
        <w:rPr>
          <w:rFonts w:ascii="Arial" w:hAnsi="Arial" w:cs="Arial"/>
        </w:rPr>
        <w:t>As Perdas Estimadas no Recebimento de Créditos</w:t>
      </w:r>
      <w:r w:rsidR="00200682" w:rsidRPr="003234C5">
        <w:rPr>
          <w:rFonts w:ascii="Arial" w:hAnsi="Arial" w:cs="Arial"/>
        </w:rPr>
        <w:t xml:space="preserve"> fo</w:t>
      </w:r>
      <w:r w:rsidRPr="003234C5">
        <w:rPr>
          <w:rFonts w:ascii="Arial" w:hAnsi="Arial" w:cs="Arial"/>
        </w:rPr>
        <w:t>ram</w:t>
      </w:r>
      <w:r w:rsidR="00200682" w:rsidRPr="003234C5">
        <w:rPr>
          <w:rFonts w:ascii="Arial" w:hAnsi="Arial" w:cs="Arial"/>
        </w:rPr>
        <w:t xml:space="preserve"> constituída</w:t>
      </w:r>
      <w:r w:rsidRPr="003234C5">
        <w:rPr>
          <w:rFonts w:ascii="Arial" w:hAnsi="Arial" w:cs="Arial"/>
        </w:rPr>
        <w:t>s</w:t>
      </w:r>
      <w:r w:rsidR="00200682" w:rsidRPr="003234C5">
        <w:rPr>
          <w:rFonts w:ascii="Arial" w:hAnsi="Arial" w:cs="Arial"/>
        </w:rPr>
        <w:t xml:space="preserve"> com base na análise </w:t>
      </w:r>
      <w:r w:rsidR="00200682" w:rsidRPr="00E15EAA">
        <w:rPr>
          <w:rFonts w:ascii="Arial" w:hAnsi="Arial" w:cs="Arial"/>
        </w:rPr>
        <w:t>das duplicatas e valores a receber de clientes</w:t>
      </w:r>
      <w:r w:rsidR="00200682" w:rsidRPr="003234C5">
        <w:rPr>
          <w:rFonts w:ascii="Arial" w:hAnsi="Arial" w:cs="Arial"/>
        </w:rPr>
        <w:t xml:space="preserve">, em montante julgado suficiente para cobrir prováveis perdas na realização, segundo critérios definidos pela administração, como: </w:t>
      </w:r>
      <w:r w:rsidR="00E51E7C">
        <w:rPr>
          <w:rFonts w:ascii="Arial" w:hAnsi="Arial" w:cs="Arial"/>
        </w:rPr>
        <w:t xml:space="preserve">análise histórica dos recebimentos de títulos da empresa, experiência dos profissionais que </w:t>
      </w:r>
      <w:r w:rsidR="00E51E7C" w:rsidRPr="00B25E84">
        <w:rPr>
          <w:rFonts w:ascii="Arial" w:hAnsi="Arial" w:cs="Arial"/>
        </w:rPr>
        <w:t xml:space="preserve">trabalham </w:t>
      </w:r>
      <w:r w:rsidR="00E51E7C" w:rsidRPr="00B25E84">
        <w:rPr>
          <w:rFonts w:ascii="Arial" w:hAnsi="Arial" w:cs="Arial"/>
        </w:rPr>
        <w:lastRenderedPageBreak/>
        <w:t>diretamente no recebimento destes valores</w:t>
      </w:r>
      <w:r w:rsidR="00E51E7C">
        <w:rPr>
          <w:rFonts w:ascii="Arial" w:hAnsi="Arial" w:cs="Arial"/>
        </w:rPr>
        <w:t>,  análise técnica pormenorizadas dos títulos e análise de mercado</w:t>
      </w:r>
      <w:r w:rsidR="00200682" w:rsidRPr="003234C5">
        <w:rPr>
          <w:rFonts w:ascii="Arial" w:hAnsi="Arial" w:cs="Arial"/>
        </w:rPr>
        <w:t xml:space="preserve">, excluindo-se as </w:t>
      </w:r>
      <w:r w:rsidR="00F4270E" w:rsidRPr="003234C5">
        <w:rPr>
          <w:rFonts w:ascii="Arial" w:hAnsi="Arial" w:cs="Arial"/>
        </w:rPr>
        <w:t>antecipações contratuais</w:t>
      </w:r>
      <w:r w:rsidR="00200682" w:rsidRPr="003234C5">
        <w:rPr>
          <w:rFonts w:ascii="Arial" w:hAnsi="Arial" w:cs="Arial"/>
        </w:rPr>
        <w:t xml:space="preserve"> restituíveis </w:t>
      </w:r>
      <w:r w:rsidR="00913AC4" w:rsidRPr="003234C5">
        <w:rPr>
          <w:rFonts w:ascii="Arial" w:hAnsi="Arial" w:cs="Arial"/>
        </w:rPr>
        <w:t>(penalidades) refletidas</w:t>
      </w:r>
      <w:r w:rsidR="00200682" w:rsidRPr="003234C5">
        <w:rPr>
          <w:rFonts w:ascii="Arial" w:hAnsi="Arial" w:cs="Arial"/>
        </w:rPr>
        <w:t xml:space="preserve"> como adiantamentos de clientes</w:t>
      </w:r>
      <w:r w:rsidR="00C76D64" w:rsidRPr="003234C5">
        <w:rPr>
          <w:rFonts w:ascii="Arial" w:hAnsi="Arial" w:cs="Arial"/>
        </w:rPr>
        <w:t xml:space="preserve"> no passivo</w:t>
      </w:r>
      <w:r w:rsidR="00200682" w:rsidRPr="003234C5">
        <w:rPr>
          <w:rFonts w:ascii="Arial" w:hAnsi="Arial" w:cs="Arial"/>
        </w:rPr>
        <w:t xml:space="preserve">. </w:t>
      </w:r>
    </w:p>
    <w:p w14:paraId="0977FD2D" w14:textId="007F54EC" w:rsidR="003A2089" w:rsidRPr="003234C5" w:rsidRDefault="00200682" w:rsidP="00176863">
      <w:pPr>
        <w:autoSpaceDE w:val="0"/>
        <w:autoSpaceDN w:val="0"/>
        <w:adjustRightInd w:val="0"/>
        <w:spacing w:after="120"/>
        <w:jc w:val="both"/>
        <w:rPr>
          <w:rFonts w:ascii="Arial" w:hAnsi="Arial" w:cs="Arial"/>
        </w:rPr>
      </w:pPr>
      <w:r w:rsidRPr="003234C5">
        <w:rPr>
          <w:rFonts w:ascii="Arial" w:hAnsi="Arial" w:cs="Arial"/>
        </w:rPr>
        <w:t xml:space="preserve">Em </w:t>
      </w:r>
      <w:r w:rsidR="009B7FE1">
        <w:rPr>
          <w:rFonts w:ascii="Arial" w:hAnsi="Arial" w:cs="Arial"/>
        </w:rPr>
        <w:t>31 de dezembro</w:t>
      </w:r>
      <w:r w:rsidRPr="003234C5">
        <w:rPr>
          <w:rFonts w:ascii="Arial" w:hAnsi="Arial" w:cs="Arial"/>
        </w:rPr>
        <w:t xml:space="preserve"> de 201</w:t>
      </w:r>
      <w:r w:rsidR="00BE4461" w:rsidRPr="003234C5">
        <w:rPr>
          <w:rFonts w:ascii="Arial" w:hAnsi="Arial" w:cs="Arial"/>
        </w:rPr>
        <w:t xml:space="preserve">9 </w:t>
      </w:r>
      <w:r w:rsidR="009B7FE1">
        <w:rPr>
          <w:rFonts w:ascii="Arial" w:hAnsi="Arial" w:cs="Arial"/>
        </w:rPr>
        <w:t xml:space="preserve">e </w:t>
      </w:r>
      <w:r w:rsidRPr="003234C5">
        <w:rPr>
          <w:rFonts w:ascii="Arial" w:hAnsi="Arial" w:cs="Arial"/>
        </w:rPr>
        <w:t>201</w:t>
      </w:r>
      <w:r w:rsidR="00BE4461" w:rsidRPr="003234C5">
        <w:rPr>
          <w:rFonts w:ascii="Arial" w:hAnsi="Arial" w:cs="Arial"/>
        </w:rPr>
        <w:t>8</w:t>
      </w:r>
      <w:r w:rsidRPr="003234C5">
        <w:rPr>
          <w:rFonts w:ascii="Arial" w:hAnsi="Arial" w:cs="Arial"/>
        </w:rPr>
        <w:t>, as contas a receber por data de vencimento</w:t>
      </w:r>
      <w:r w:rsidR="00FE4AE0" w:rsidRPr="003234C5">
        <w:rPr>
          <w:rFonts w:ascii="Arial" w:hAnsi="Arial" w:cs="Arial"/>
        </w:rPr>
        <w:t xml:space="preserve"> e desdobradas em venda</w:t>
      </w:r>
      <w:r w:rsidRPr="003234C5">
        <w:rPr>
          <w:rFonts w:ascii="Arial" w:hAnsi="Arial" w:cs="Arial"/>
        </w:rPr>
        <w:t xml:space="preserve"> </w:t>
      </w:r>
      <w:r w:rsidR="00FE4AE0" w:rsidRPr="003234C5">
        <w:rPr>
          <w:rFonts w:ascii="Arial" w:hAnsi="Arial" w:cs="Arial"/>
        </w:rPr>
        <w:t xml:space="preserve">de gás e penalidades </w:t>
      </w:r>
      <w:r w:rsidRPr="003234C5">
        <w:rPr>
          <w:rFonts w:ascii="Arial" w:hAnsi="Arial" w:cs="Arial"/>
        </w:rPr>
        <w:t>estavam assim representadas:</w:t>
      </w: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2"/>
        <w:gridCol w:w="1815"/>
        <w:gridCol w:w="1816"/>
      </w:tblGrid>
      <w:tr w:rsidR="00BE4461" w:rsidRPr="003234C5" w14:paraId="20D77D87" w14:textId="77777777" w:rsidTr="002865ED">
        <w:trPr>
          <w:trHeight w:val="227"/>
          <w:jc w:val="center"/>
        </w:trPr>
        <w:tc>
          <w:tcPr>
            <w:tcW w:w="5452" w:type="dxa"/>
            <w:shd w:val="clear" w:color="auto" w:fill="C0C0C0"/>
            <w:vAlign w:val="center"/>
          </w:tcPr>
          <w:p w14:paraId="3392F809" w14:textId="77777777" w:rsidR="00BE4461" w:rsidRPr="003234C5" w:rsidRDefault="00BE4461" w:rsidP="00BE446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Venda de gás</w:t>
            </w:r>
          </w:p>
        </w:tc>
        <w:tc>
          <w:tcPr>
            <w:tcW w:w="1815" w:type="dxa"/>
            <w:shd w:val="clear" w:color="auto" w:fill="C0C0C0"/>
          </w:tcPr>
          <w:p w14:paraId="284241BF" w14:textId="752A9FB1" w:rsidR="00BE4461" w:rsidRPr="003234C5" w:rsidRDefault="00C6257E" w:rsidP="00BE4461">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816" w:type="dxa"/>
            <w:shd w:val="clear" w:color="auto" w:fill="C0C0C0"/>
            <w:vAlign w:val="center"/>
          </w:tcPr>
          <w:p w14:paraId="10E0F303" w14:textId="43C1D0D0" w:rsidR="00BE4461" w:rsidRPr="003234C5" w:rsidRDefault="00C6257E" w:rsidP="00BE4461">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491426" w:rsidRPr="003234C5" w14:paraId="33BD4AC0" w14:textId="77777777" w:rsidTr="002865ED">
        <w:trPr>
          <w:trHeight w:val="227"/>
          <w:jc w:val="center"/>
        </w:trPr>
        <w:tc>
          <w:tcPr>
            <w:tcW w:w="5452" w:type="dxa"/>
            <w:shd w:val="clear" w:color="auto" w:fill="FFFFFF" w:themeFill="background1"/>
            <w:vAlign w:val="bottom"/>
          </w:tcPr>
          <w:p w14:paraId="05F769CE" w14:textId="77777777"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A vencer</w:t>
            </w:r>
          </w:p>
        </w:tc>
        <w:tc>
          <w:tcPr>
            <w:tcW w:w="1815" w:type="dxa"/>
            <w:shd w:val="clear" w:color="auto" w:fill="FFFFFF" w:themeFill="background1"/>
            <w:vAlign w:val="center"/>
          </w:tcPr>
          <w:p w14:paraId="7FA2BB6E" w14:textId="3078B8C4" w:rsidR="00491426" w:rsidRPr="003234C5" w:rsidRDefault="0563BBA7" w:rsidP="00491426">
            <w:pPr>
              <w:spacing w:after="0"/>
              <w:jc w:val="right"/>
              <w:rPr>
                <w:rFonts w:ascii="Arial" w:hAnsi="Arial" w:cs="Arial"/>
                <w:sz w:val="20"/>
                <w:szCs w:val="20"/>
              </w:rPr>
            </w:pPr>
            <w:r w:rsidRPr="560654F9">
              <w:rPr>
                <w:rFonts w:ascii="Arial" w:hAnsi="Arial" w:cs="Arial"/>
                <w:sz w:val="20"/>
                <w:szCs w:val="20"/>
              </w:rPr>
              <w:t>32.617</w:t>
            </w:r>
          </w:p>
        </w:tc>
        <w:tc>
          <w:tcPr>
            <w:tcW w:w="1816" w:type="dxa"/>
            <w:shd w:val="clear" w:color="auto" w:fill="FFFFFF" w:themeFill="background1"/>
            <w:vAlign w:val="center"/>
          </w:tcPr>
          <w:p w14:paraId="20FD62A0" w14:textId="3E870EE9"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16.742</w:t>
            </w:r>
          </w:p>
        </w:tc>
      </w:tr>
      <w:tr w:rsidR="00491426" w:rsidRPr="003234C5" w14:paraId="4C50EECB" w14:textId="77777777" w:rsidTr="002865ED">
        <w:trPr>
          <w:trHeight w:val="227"/>
          <w:jc w:val="center"/>
        </w:trPr>
        <w:tc>
          <w:tcPr>
            <w:tcW w:w="5452" w:type="dxa"/>
            <w:shd w:val="clear" w:color="auto" w:fill="FFFFFF" w:themeFill="background1"/>
            <w:vAlign w:val="bottom"/>
          </w:tcPr>
          <w:p w14:paraId="7FE96B2F" w14:textId="77777777"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Vencidas em até 30 dias</w:t>
            </w:r>
          </w:p>
        </w:tc>
        <w:tc>
          <w:tcPr>
            <w:tcW w:w="1815" w:type="dxa"/>
            <w:shd w:val="clear" w:color="auto" w:fill="FFFFFF" w:themeFill="background1"/>
            <w:vAlign w:val="center"/>
          </w:tcPr>
          <w:p w14:paraId="38C1D632" w14:textId="22945AFF" w:rsidR="00491426" w:rsidRPr="003234C5" w:rsidRDefault="211244AB" w:rsidP="00491426">
            <w:pPr>
              <w:spacing w:after="0"/>
              <w:jc w:val="right"/>
              <w:rPr>
                <w:rFonts w:ascii="Arial" w:hAnsi="Arial" w:cs="Arial"/>
                <w:sz w:val="20"/>
                <w:szCs w:val="20"/>
              </w:rPr>
            </w:pPr>
            <w:r w:rsidRPr="560654F9">
              <w:rPr>
                <w:rFonts w:ascii="Arial" w:hAnsi="Arial" w:cs="Arial"/>
                <w:sz w:val="20"/>
                <w:szCs w:val="20"/>
              </w:rPr>
              <w:t>1.620</w:t>
            </w:r>
          </w:p>
        </w:tc>
        <w:tc>
          <w:tcPr>
            <w:tcW w:w="1816" w:type="dxa"/>
            <w:shd w:val="clear" w:color="auto" w:fill="FFFFFF" w:themeFill="background1"/>
            <w:vAlign w:val="center"/>
          </w:tcPr>
          <w:p w14:paraId="7F431A32" w14:textId="3F20736A"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2.641</w:t>
            </w:r>
          </w:p>
        </w:tc>
      </w:tr>
      <w:tr w:rsidR="00491426" w:rsidRPr="003234C5" w14:paraId="0545531A" w14:textId="77777777" w:rsidTr="002865ED">
        <w:trPr>
          <w:trHeight w:val="227"/>
          <w:jc w:val="center"/>
        </w:trPr>
        <w:tc>
          <w:tcPr>
            <w:tcW w:w="5452" w:type="dxa"/>
            <w:shd w:val="clear" w:color="auto" w:fill="FFFFFF" w:themeFill="background1"/>
            <w:vAlign w:val="bottom"/>
          </w:tcPr>
          <w:p w14:paraId="57E5BAAF" w14:textId="77777777" w:rsidR="00491426" w:rsidRPr="003234C5" w:rsidRDefault="00491426" w:rsidP="00491426">
            <w:pPr>
              <w:widowControl w:val="0"/>
              <w:spacing w:after="0"/>
              <w:jc w:val="both"/>
              <w:rPr>
                <w:rFonts w:ascii="Arial" w:hAnsi="Arial" w:cs="Arial"/>
                <w:b/>
                <w:sz w:val="20"/>
                <w:szCs w:val="20"/>
              </w:rPr>
            </w:pPr>
            <w:r w:rsidRPr="003234C5">
              <w:rPr>
                <w:rFonts w:ascii="Arial" w:hAnsi="Arial" w:cs="Arial"/>
                <w:sz w:val="20"/>
                <w:szCs w:val="20"/>
              </w:rPr>
              <w:t>Vencidas entre 31 e 365 dias</w:t>
            </w:r>
          </w:p>
        </w:tc>
        <w:tc>
          <w:tcPr>
            <w:tcW w:w="1815" w:type="dxa"/>
            <w:shd w:val="clear" w:color="auto" w:fill="FFFFFF" w:themeFill="background1"/>
            <w:vAlign w:val="center"/>
          </w:tcPr>
          <w:p w14:paraId="2337BCB8" w14:textId="776F89DD" w:rsidR="00491426" w:rsidRPr="003234C5" w:rsidRDefault="3F332041" w:rsidP="00491426">
            <w:pPr>
              <w:spacing w:after="0"/>
              <w:jc w:val="right"/>
              <w:rPr>
                <w:rFonts w:ascii="Arial" w:hAnsi="Arial" w:cs="Arial"/>
                <w:sz w:val="20"/>
                <w:szCs w:val="20"/>
              </w:rPr>
            </w:pPr>
            <w:r w:rsidRPr="560654F9">
              <w:rPr>
                <w:rFonts w:ascii="Arial" w:hAnsi="Arial" w:cs="Arial"/>
                <w:sz w:val="20"/>
                <w:szCs w:val="20"/>
              </w:rPr>
              <w:t>358</w:t>
            </w:r>
          </w:p>
        </w:tc>
        <w:tc>
          <w:tcPr>
            <w:tcW w:w="1816" w:type="dxa"/>
            <w:shd w:val="clear" w:color="auto" w:fill="FFFFFF" w:themeFill="background1"/>
            <w:vAlign w:val="center"/>
          </w:tcPr>
          <w:p w14:paraId="2C4F9CF6" w14:textId="0FC4C280"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445</w:t>
            </w:r>
          </w:p>
        </w:tc>
      </w:tr>
      <w:tr w:rsidR="00491426" w:rsidRPr="003234C5" w14:paraId="40EFBFA2" w14:textId="77777777" w:rsidTr="002865ED">
        <w:trPr>
          <w:trHeight w:val="227"/>
          <w:jc w:val="center"/>
        </w:trPr>
        <w:tc>
          <w:tcPr>
            <w:tcW w:w="5452" w:type="dxa"/>
            <w:shd w:val="clear" w:color="auto" w:fill="FFFFFF" w:themeFill="background1"/>
            <w:vAlign w:val="bottom"/>
          </w:tcPr>
          <w:p w14:paraId="4F91B5BB" w14:textId="77777777"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Vencidas há mais de 365 dias</w:t>
            </w:r>
          </w:p>
        </w:tc>
        <w:tc>
          <w:tcPr>
            <w:tcW w:w="1815" w:type="dxa"/>
            <w:shd w:val="clear" w:color="auto" w:fill="FFFFFF" w:themeFill="background1"/>
            <w:vAlign w:val="center"/>
          </w:tcPr>
          <w:p w14:paraId="23F5A3FF" w14:textId="2E2BD344" w:rsidR="00491426" w:rsidRPr="003234C5" w:rsidRDefault="40F78A42" w:rsidP="00491426">
            <w:pPr>
              <w:spacing w:after="0"/>
              <w:jc w:val="right"/>
              <w:rPr>
                <w:rFonts w:ascii="Arial" w:hAnsi="Arial" w:cs="Arial"/>
                <w:sz w:val="20"/>
                <w:szCs w:val="20"/>
              </w:rPr>
            </w:pPr>
            <w:r w:rsidRPr="560654F9">
              <w:rPr>
                <w:rFonts w:ascii="Arial" w:hAnsi="Arial" w:cs="Arial"/>
                <w:sz w:val="20"/>
                <w:szCs w:val="20"/>
              </w:rPr>
              <w:t>946</w:t>
            </w:r>
          </w:p>
        </w:tc>
        <w:tc>
          <w:tcPr>
            <w:tcW w:w="1816" w:type="dxa"/>
            <w:shd w:val="clear" w:color="auto" w:fill="FFFFFF" w:themeFill="background1"/>
            <w:vAlign w:val="center"/>
          </w:tcPr>
          <w:p w14:paraId="21A1380B" w14:textId="20F7F97A"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714</w:t>
            </w:r>
          </w:p>
        </w:tc>
      </w:tr>
      <w:tr w:rsidR="00491426" w:rsidRPr="003234C5" w14:paraId="3CCAE24C" w14:textId="77777777" w:rsidTr="002865ED">
        <w:trPr>
          <w:trHeight w:val="227"/>
          <w:jc w:val="center"/>
        </w:trPr>
        <w:tc>
          <w:tcPr>
            <w:tcW w:w="5452" w:type="dxa"/>
            <w:shd w:val="clear" w:color="auto" w:fill="C0C0C0"/>
            <w:vAlign w:val="center"/>
          </w:tcPr>
          <w:p w14:paraId="48978830" w14:textId="77777777" w:rsidR="00491426" w:rsidRPr="003234C5" w:rsidRDefault="00491426" w:rsidP="00491426">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815" w:type="dxa"/>
            <w:shd w:val="clear" w:color="auto" w:fill="C0C0C0"/>
            <w:vAlign w:val="center"/>
          </w:tcPr>
          <w:p w14:paraId="78506736" w14:textId="3BFC1DEE" w:rsidR="00491426" w:rsidRPr="003234C5" w:rsidRDefault="0EA08186" w:rsidP="560654F9">
            <w:pPr>
              <w:spacing w:after="0"/>
              <w:jc w:val="right"/>
              <w:rPr>
                <w:rFonts w:ascii="Arial" w:hAnsi="Arial" w:cs="Arial"/>
                <w:b/>
                <w:bCs/>
                <w:sz w:val="20"/>
                <w:szCs w:val="20"/>
              </w:rPr>
            </w:pPr>
            <w:r w:rsidRPr="560654F9">
              <w:rPr>
                <w:rFonts w:ascii="Arial" w:hAnsi="Arial" w:cs="Arial"/>
                <w:b/>
                <w:bCs/>
                <w:sz w:val="20"/>
                <w:szCs w:val="20"/>
              </w:rPr>
              <w:t>35.541</w:t>
            </w:r>
          </w:p>
        </w:tc>
        <w:tc>
          <w:tcPr>
            <w:tcW w:w="1816" w:type="dxa"/>
            <w:shd w:val="clear" w:color="auto" w:fill="C0C0C0"/>
            <w:vAlign w:val="center"/>
          </w:tcPr>
          <w:p w14:paraId="3F947149" w14:textId="6CA7E64B" w:rsidR="00491426" w:rsidRPr="003234C5" w:rsidRDefault="00491426" w:rsidP="00491426">
            <w:pPr>
              <w:spacing w:after="0"/>
              <w:jc w:val="right"/>
              <w:rPr>
                <w:rFonts w:ascii="Arial" w:hAnsi="Arial" w:cs="Arial"/>
                <w:b/>
                <w:sz w:val="20"/>
                <w:szCs w:val="20"/>
              </w:rPr>
            </w:pPr>
            <w:r w:rsidRPr="003234C5">
              <w:rPr>
                <w:rFonts w:ascii="Arial" w:hAnsi="Arial" w:cs="Arial"/>
                <w:b/>
                <w:bCs/>
                <w:color w:val="000000"/>
                <w:sz w:val="20"/>
                <w:szCs w:val="20"/>
              </w:rPr>
              <w:t>20.542</w:t>
            </w:r>
          </w:p>
        </w:tc>
      </w:tr>
    </w:tbl>
    <w:p w14:paraId="216A2F9B" w14:textId="77777777" w:rsidR="00D33D59" w:rsidRDefault="00D33D59" w:rsidP="00913AC4"/>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2"/>
        <w:gridCol w:w="1815"/>
        <w:gridCol w:w="1816"/>
      </w:tblGrid>
      <w:tr w:rsidR="00BE4461" w:rsidRPr="003234C5" w14:paraId="22270D85" w14:textId="77777777" w:rsidTr="002865ED">
        <w:trPr>
          <w:trHeight w:val="227"/>
          <w:jc w:val="center"/>
        </w:trPr>
        <w:tc>
          <w:tcPr>
            <w:tcW w:w="5452" w:type="dxa"/>
            <w:shd w:val="clear" w:color="auto" w:fill="C0C0C0"/>
            <w:vAlign w:val="center"/>
          </w:tcPr>
          <w:p w14:paraId="2FE2F425" w14:textId="77777777" w:rsidR="00BE4461" w:rsidRPr="003234C5" w:rsidRDefault="00BE4461" w:rsidP="00BE446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Penalidades</w:t>
            </w:r>
          </w:p>
        </w:tc>
        <w:tc>
          <w:tcPr>
            <w:tcW w:w="1815" w:type="dxa"/>
            <w:shd w:val="clear" w:color="auto" w:fill="C0C0C0"/>
          </w:tcPr>
          <w:p w14:paraId="30BD0E01" w14:textId="6C0BD943" w:rsidR="00BE4461" w:rsidRPr="003234C5" w:rsidRDefault="00C6257E" w:rsidP="00BE4461">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816" w:type="dxa"/>
            <w:shd w:val="clear" w:color="auto" w:fill="C0C0C0"/>
            <w:vAlign w:val="center"/>
          </w:tcPr>
          <w:p w14:paraId="5FCEF8AE" w14:textId="7A94B91B" w:rsidR="00BE4461" w:rsidRPr="003234C5" w:rsidRDefault="00C6257E" w:rsidP="00BE4461">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335882" w:rsidRPr="003234C5" w14:paraId="0256BA03" w14:textId="77777777" w:rsidTr="002865ED">
        <w:trPr>
          <w:trHeight w:val="227"/>
          <w:jc w:val="center"/>
        </w:trPr>
        <w:tc>
          <w:tcPr>
            <w:tcW w:w="5452" w:type="dxa"/>
            <w:shd w:val="clear" w:color="auto" w:fill="FFFFFF" w:themeFill="background1"/>
            <w:vAlign w:val="bottom"/>
          </w:tcPr>
          <w:p w14:paraId="4F3E66C8" w14:textId="77777777" w:rsidR="00335882" w:rsidRPr="003234C5" w:rsidRDefault="00335882" w:rsidP="00335882">
            <w:pPr>
              <w:spacing w:after="0"/>
              <w:jc w:val="both"/>
              <w:rPr>
                <w:rFonts w:ascii="Arial" w:hAnsi="Arial" w:cs="Arial"/>
                <w:sz w:val="20"/>
                <w:szCs w:val="20"/>
              </w:rPr>
            </w:pPr>
            <w:r w:rsidRPr="003234C5">
              <w:rPr>
                <w:rFonts w:ascii="Arial" w:hAnsi="Arial" w:cs="Arial"/>
                <w:sz w:val="20"/>
                <w:szCs w:val="20"/>
              </w:rPr>
              <w:t>A vencer</w:t>
            </w:r>
          </w:p>
        </w:tc>
        <w:tc>
          <w:tcPr>
            <w:tcW w:w="1815" w:type="dxa"/>
            <w:shd w:val="clear" w:color="auto" w:fill="FFFFFF" w:themeFill="background1"/>
            <w:vAlign w:val="center"/>
          </w:tcPr>
          <w:p w14:paraId="27F9DABA" w14:textId="08CAF559" w:rsidR="00335882" w:rsidRPr="003234C5" w:rsidRDefault="69190917" w:rsidP="00335882">
            <w:pPr>
              <w:spacing w:after="0"/>
              <w:jc w:val="right"/>
              <w:rPr>
                <w:rFonts w:ascii="Arial" w:hAnsi="Arial" w:cs="Arial"/>
                <w:sz w:val="20"/>
                <w:szCs w:val="20"/>
              </w:rPr>
            </w:pPr>
            <w:r w:rsidRPr="560654F9">
              <w:rPr>
                <w:rFonts w:ascii="Arial" w:hAnsi="Arial" w:cs="Arial"/>
                <w:sz w:val="20"/>
                <w:szCs w:val="20"/>
              </w:rPr>
              <w:t>7.</w:t>
            </w:r>
            <w:r w:rsidR="004C2D2C">
              <w:rPr>
                <w:rFonts w:ascii="Arial" w:hAnsi="Arial" w:cs="Arial"/>
                <w:sz w:val="20"/>
                <w:szCs w:val="20"/>
              </w:rPr>
              <w:t>542</w:t>
            </w:r>
          </w:p>
        </w:tc>
        <w:tc>
          <w:tcPr>
            <w:tcW w:w="1816" w:type="dxa"/>
            <w:shd w:val="clear" w:color="auto" w:fill="FFFFFF" w:themeFill="background1"/>
            <w:vAlign w:val="center"/>
          </w:tcPr>
          <w:p w14:paraId="3748E3C4" w14:textId="0AF24331"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191</w:t>
            </w:r>
          </w:p>
        </w:tc>
      </w:tr>
      <w:tr w:rsidR="00335882" w:rsidRPr="003234C5" w14:paraId="6DD0D10D" w14:textId="77777777" w:rsidTr="002865ED">
        <w:trPr>
          <w:trHeight w:val="227"/>
          <w:jc w:val="center"/>
        </w:trPr>
        <w:tc>
          <w:tcPr>
            <w:tcW w:w="5452" w:type="dxa"/>
            <w:shd w:val="clear" w:color="auto" w:fill="FFFFFF" w:themeFill="background1"/>
            <w:vAlign w:val="bottom"/>
          </w:tcPr>
          <w:p w14:paraId="542AB677" w14:textId="77777777" w:rsidR="00335882" w:rsidRPr="003234C5" w:rsidRDefault="00335882" w:rsidP="00335882">
            <w:pPr>
              <w:spacing w:after="0"/>
              <w:jc w:val="both"/>
              <w:rPr>
                <w:rFonts w:ascii="Arial" w:hAnsi="Arial" w:cs="Arial"/>
                <w:sz w:val="20"/>
                <w:szCs w:val="20"/>
              </w:rPr>
            </w:pPr>
            <w:r w:rsidRPr="003234C5">
              <w:rPr>
                <w:rFonts w:ascii="Arial" w:hAnsi="Arial" w:cs="Arial"/>
                <w:sz w:val="20"/>
                <w:szCs w:val="20"/>
              </w:rPr>
              <w:t>Vencidas em até 30 dias</w:t>
            </w:r>
          </w:p>
        </w:tc>
        <w:tc>
          <w:tcPr>
            <w:tcW w:w="1815" w:type="dxa"/>
            <w:shd w:val="clear" w:color="auto" w:fill="FFFFFF" w:themeFill="background1"/>
            <w:vAlign w:val="center"/>
          </w:tcPr>
          <w:p w14:paraId="05A6E7FA" w14:textId="673616EE" w:rsidR="00335882" w:rsidRPr="003234C5" w:rsidRDefault="5A1CE706" w:rsidP="00335882">
            <w:pPr>
              <w:spacing w:after="0"/>
              <w:jc w:val="right"/>
              <w:rPr>
                <w:rFonts w:ascii="Arial" w:hAnsi="Arial" w:cs="Arial"/>
                <w:sz w:val="20"/>
                <w:szCs w:val="20"/>
              </w:rPr>
            </w:pPr>
            <w:r w:rsidRPr="560654F9">
              <w:rPr>
                <w:rFonts w:ascii="Arial" w:hAnsi="Arial" w:cs="Arial"/>
                <w:sz w:val="20"/>
                <w:szCs w:val="20"/>
              </w:rPr>
              <w:t>-</w:t>
            </w:r>
          </w:p>
        </w:tc>
        <w:tc>
          <w:tcPr>
            <w:tcW w:w="1816" w:type="dxa"/>
            <w:shd w:val="clear" w:color="auto" w:fill="FFFFFF" w:themeFill="background1"/>
            <w:vAlign w:val="center"/>
          </w:tcPr>
          <w:p w14:paraId="6F1E05C9" w14:textId="3F0B93AB"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27</w:t>
            </w:r>
          </w:p>
        </w:tc>
      </w:tr>
      <w:tr w:rsidR="00335882" w:rsidRPr="003234C5" w14:paraId="0066FCC6" w14:textId="77777777" w:rsidTr="002865ED">
        <w:trPr>
          <w:trHeight w:val="227"/>
          <w:jc w:val="center"/>
        </w:trPr>
        <w:tc>
          <w:tcPr>
            <w:tcW w:w="5452" w:type="dxa"/>
            <w:shd w:val="clear" w:color="auto" w:fill="FFFFFF" w:themeFill="background1"/>
            <w:vAlign w:val="bottom"/>
          </w:tcPr>
          <w:p w14:paraId="7EF0C240" w14:textId="77777777" w:rsidR="00335882" w:rsidRPr="003234C5" w:rsidRDefault="00335882" w:rsidP="00335882">
            <w:pPr>
              <w:widowControl w:val="0"/>
              <w:spacing w:after="0"/>
              <w:jc w:val="both"/>
              <w:rPr>
                <w:rFonts w:ascii="Arial" w:hAnsi="Arial" w:cs="Arial"/>
                <w:b/>
                <w:sz w:val="20"/>
                <w:szCs w:val="20"/>
              </w:rPr>
            </w:pPr>
            <w:r w:rsidRPr="003234C5">
              <w:rPr>
                <w:rFonts w:ascii="Arial" w:hAnsi="Arial" w:cs="Arial"/>
                <w:sz w:val="20"/>
                <w:szCs w:val="20"/>
              </w:rPr>
              <w:t>Vencidas entre 31 e 365 dias</w:t>
            </w:r>
          </w:p>
        </w:tc>
        <w:tc>
          <w:tcPr>
            <w:tcW w:w="1815" w:type="dxa"/>
            <w:shd w:val="clear" w:color="auto" w:fill="FFFFFF" w:themeFill="background1"/>
            <w:vAlign w:val="center"/>
          </w:tcPr>
          <w:p w14:paraId="75590C0E" w14:textId="34EAAC2C" w:rsidR="00335882" w:rsidRPr="003234C5" w:rsidRDefault="2B9E2B3D" w:rsidP="00335882">
            <w:pPr>
              <w:spacing w:after="0"/>
              <w:jc w:val="right"/>
              <w:rPr>
                <w:rFonts w:ascii="Arial" w:hAnsi="Arial" w:cs="Arial"/>
                <w:sz w:val="20"/>
                <w:szCs w:val="20"/>
              </w:rPr>
            </w:pPr>
            <w:r w:rsidRPr="560654F9">
              <w:rPr>
                <w:rFonts w:ascii="Arial" w:hAnsi="Arial" w:cs="Arial"/>
                <w:sz w:val="20"/>
                <w:szCs w:val="20"/>
              </w:rPr>
              <w:t>29.173</w:t>
            </w:r>
          </w:p>
        </w:tc>
        <w:tc>
          <w:tcPr>
            <w:tcW w:w="1816" w:type="dxa"/>
            <w:shd w:val="clear" w:color="auto" w:fill="FFFFFF" w:themeFill="background1"/>
            <w:vAlign w:val="center"/>
          </w:tcPr>
          <w:p w14:paraId="74306A32" w14:textId="4C19244E"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w:t>
            </w:r>
          </w:p>
        </w:tc>
      </w:tr>
      <w:tr w:rsidR="00335882" w:rsidRPr="003234C5" w14:paraId="379CE720" w14:textId="77777777" w:rsidTr="002865ED">
        <w:trPr>
          <w:trHeight w:val="227"/>
          <w:jc w:val="center"/>
        </w:trPr>
        <w:tc>
          <w:tcPr>
            <w:tcW w:w="5452" w:type="dxa"/>
            <w:shd w:val="clear" w:color="auto" w:fill="FFFFFF" w:themeFill="background1"/>
            <w:vAlign w:val="bottom"/>
          </w:tcPr>
          <w:p w14:paraId="09FBEE1B" w14:textId="77777777" w:rsidR="00335882" w:rsidRPr="003234C5" w:rsidRDefault="00335882" w:rsidP="00335882">
            <w:pPr>
              <w:spacing w:after="0"/>
              <w:jc w:val="both"/>
              <w:rPr>
                <w:rFonts w:ascii="Arial" w:hAnsi="Arial" w:cs="Arial"/>
                <w:sz w:val="20"/>
                <w:szCs w:val="20"/>
              </w:rPr>
            </w:pPr>
            <w:r w:rsidRPr="003234C5">
              <w:rPr>
                <w:rFonts w:ascii="Arial" w:hAnsi="Arial" w:cs="Arial"/>
                <w:sz w:val="20"/>
                <w:szCs w:val="20"/>
              </w:rPr>
              <w:t>Vencidas há mais de 365 dias</w:t>
            </w:r>
          </w:p>
        </w:tc>
        <w:tc>
          <w:tcPr>
            <w:tcW w:w="1815" w:type="dxa"/>
            <w:shd w:val="clear" w:color="auto" w:fill="FFFFFF" w:themeFill="background1"/>
            <w:vAlign w:val="center"/>
          </w:tcPr>
          <w:p w14:paraId="20EA41CD" w14:textId="06D037C2" w:rsidR="00335882" w:rsidRPr="00390FD8" w:rsidRDefault="342091E2" w:rsidP="00335882">
            <w:pPr>
              <w:spacing w:after="0"/>
              <w:jc w:val="right"/>
            </w:pPr>
            <w:r w:rsidRPr="00390FD8">
              <w:t>24.009</w:t>
            </w:r>
          </w:p>
        </w:tc>
        <w:tc>
          <w:tcPr>
            <w:tcW w:w="1816" w:type="dxa"/>
            <w:shd w:val="clear" w:color="auto" w:fill="FFFFFF" w:themeFill="background1"/>
            <w:vAlign w:val="center"/>
          </w:tcPr>
          <w:p w14:paraId="55EB1BF8" w14:textId="507DC2F9"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10.489</w:t>
            </w:r>
          </w:p>
        </w:tc>
      </w:tr>
      <w:tr w:rsidR="00335882" w:rsidRPr="003234C5" w14:paraId="19938EDE" w14:textId="77777777" w:rsidTr="002865ED">
        <w:trPr>
          <w:trHeight w:val="227"/>
          <w:jc w:val="center"/>
        </w:trPr>
        <w:tc>
          <w:tcPr>
            <w:tcW w:w="5452" w:type="dxa"/>
            <w:shd w:val="clear" w:color="auto" w:fill="C0C0C0"/>
            <w:vAlign w:val="center"/>
          </w:tcPr>
          <w:p w14:paraId="195B99AF" w14:textId="77777777" w:rsidR="00335882" w:rsidRPr="003234C5" w:rsidRDefault="00335882" w:rsidP="0033588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815" w:type="dxa"/>
            <w:shd w:val="clear" w:color="auto" w:fill="C0C0C0"/>
            <w:vAlign w:val="center"/>
          </w:tcPr>
          <w:p w14:paraId="6A2386FE" w14:textId="0440C2A7" w:rsidR="00335882" w:rsidRPr="003234C5" w:rsidRDefault="3A1657A7" w:rsidP="560654F9">
            <w:pPr>
              <w:spacing w:after="0"/>
              <w:jc w:val="right"/>
              <w:rPr>
                <w:rFonts w:ascii="Arial" w:hAnsi="Arial" w:cs="Arial"/>
                <w:b/>
                <w:bCs/>
                <w:sz w:val="20"/>
                <w:szCs w:val="20"/>
              </w:rPr>
            </w:pPr>
            <w:r w:rsidRPr="560654F9">
              <w:rPr>
                <w:rFonts w:ascii="Arial" w:hAnsi="Arial" w:cs="Arial"/>
                <w:b/>
                <w:bCs/>
                <w:sz w:val="20"/>
                <w:szCs w:val="20"/>
              </w:rPr>
              <w:t>60.</w:t>
            </w:r>
            <w:r w:rsidR="004C2D2C">
              <w:rPr>
                <w:rFonts w:ascii="Arial" w:hAnsi="Arial" w:cs="Arial"/>
                <w:b/>
                <w:bCs/>
                <w:sz w:val="20"/>
                <w:szCs w:val="20"/>
              </w:rPr>
              <w:t>724</w:t>
            </w:r>
          </w:p>
        </w:tc>
        <w:tc>
          <w:tcPr>
            <w:tcW w:w="1816" w:type="dxa"/>
            <w:shd w:val="clear" w:color="auto" w:fill="C0C0C0"/>
            <w:vAlign w:val="center"/>
          </w:tcPr>
          <w:p w14:paraId="6FFEB5DB" w14:textId="6D168EB0" w:rsidR="00335882" w:rsidRPr="003234C5" w:rsidRDefault="00335882" w:rsidP="00335882">
            <w:pPr>
              <w:spacing w:after="0"/>
              <w:jc w:val="right"/>
              <w:rPr>
                <w:rFonts w:ascii="Arial" w:hAnsi="Arial" w:cs="Arial"/>
                <w:b/>
                <w:sz w:val="20"/>
                <w:szCs w:val="20"/>
              </w:rPr>
            </w:pPr>
            <w:r w:rsidRPr="003234C5">
              <w:rPr>
                <w:rFonts w:ascii="Arial" w:hAnsi="Arial" w:cs="Arial"/>
                <w:b/>
                <w:bCs/>
                <w:color w:val="000000"/>
                <w:sz w:val="20"/>
                <w:szCs w:val="20"/>
              </w:rPr>
              <w:t>10.707</w:t>
            </w:r>
          </w:p>
        </w:tc>
      </w:tr>
    </w:tbl>
    <w:p w14:paraId="0EF6E207" w14:textId="77777777" w:rsidR="00B91BA7" w:rsidRPr="003234C5" w:rsidRDefault="00B91BA7" w:rsidP="00200682">
      <w:pPr>
        <w:widowControl w:val="0"/>
        <w:ind w:right="50"/>
        <w:jc w:val="both"/>
        <w:rPr>
          <w:rFonts w:ascii="Arial" w:hAnsi="Arial" w:cs="Arial"/>
          <w:b/>
          <w:sz w:val="24"/>
          <w:szCs w:val="24"/>
        </w:rPr>
      </w:pPr>
    </w:p>
    <w:p w14:paraId="6144E0F6" w14:textId="11F0EE9A" w:rsidR="00200682" w:rsidRPr="003234C5" w:rsidRDefault="00200682" w:rsidP="00200682">
      <w:pPr>
        <w:widowControl w:val="0"/>
        <w:ind w:right="50"/>
        <w:jc w:val="both"/>
        <w:rPr>
          <w:rFonts w:ascii="Arial" w:hAnsi="Arial" w:cs="Arial"/>
          <w:b/>
        </w:rPr>
      </w:pPr>
      <w:r w:rsidRPr="003234C5">
        <w:rPr>
          <w:rFonts w:ascii="Arial" w:hAnsi="Arial" w:cs="Arial"/>
          <w:b/>
        </w:rPr>
        <w:t xml:space="preserve">NOTA </w:t>
      </w:r>
      <w:r w:rsidR="00351159" w:rsidRPr="003234C5">
        <w:rPr>
          <w:rFonts w:ascii="Arial" w:hAnsi="Arial" w:cs="Arial"/>
          <w:b/>
        </w:rPr>
        <w:t>1</w:t>
      </w:r>
      <w:r w:rsidR="00176863" w:rsidRPr="003234C5">
        <w:rPr>
          <w:rFonts w:ascii="Arial" w:hAnsi="Arial" w:cs="Arial"/>
          <w:b/>
        </w:rPr>
        <w:t>0</w:t>
      </w:r>
      <w:r w:rsidRPr="003234C5">
        <w:rPr>
          <w:rFonts w:ascii="Arial" w:hAnsi="Arial" w:cs="Arial"/>
          <w:b/>
        </w:rPr>
        <w:t>. CONTAS A RECEBER DE PARTES RELACIONADAS</w:t>
      </w:r>
    </w:p>
    <w:p w14:paraId="3AF2222E" w14:textId="6B4FE8C2" w:rsidR="00200682" w:rsidRPr="003234C5" w:rsidRDefault="00AA7FEF" w:rsidP="008B5CDD">
      <w:pPr>
        <w:spacing w:after="0"/>
        <w:jc w:val="both"/>
        <w:rPr>
          <w:rFonts w:ascii="Arial" w:hAnsi="Arial" w:cs="Arial"/>
        </w:rPr>
      </w:pPr>
      <w:r w:rsidRPr="003234C5">
        <w:rPr>
          <w:rFonts w:ascii="Arial" w:hAnsi="Arial" w:cs="Arial"/>
        </w:rPr>
        <w:t xml:space="preserve">Em </w:t>
      </w:r>
      <w:r w:rsidR="009B7FE1">
        <w:rPr>
          <w:rFonts w:ascii="Arial" w:hAnsi="Arial" w:cs="Arial"/>
        </w:rPr>
        <w:t xml:space="preserve">31 de dezembro de </w:t>
      </w:r>
      <w:r w:rsidRPr="003234C5">
        <w:rPr>
          <w:rFonts w:ascii="Arial" w:hAnsi="Arial" w:cs="Arial"/>
        </w:rPr>
        <w:t>201</w:t>
      </w:r>
      <w:r w:rsidR="005C5AF0" w:rsidRPr="003234C5">
        <w:rPr>
          <w:rFonts w:ascii="Arial" w:hAnsi="Arial" w:cs="Arial"/>
        </w:rPr>
        <w:t>9</w:t>
      </w:r>
      <w:r w:rsidRPr="003234C5">
        <w:rPr>
          <w:rFonts w:ascii="Arial" w:hAnsi="Arial" w:cs="Arial"/>
        </w:rPr>
        <w:t xml:space="preserve">, como já evidenciado na Nota </w:t>
      </w:r>
      <w:r w:rsidR="002D7D56" w:rsidRPr="003234C5">
        <w:rPr>
          <w:rFonts w:ascii="Arial" w:hAnsi="Arial" w:cs="Arial"/>
        </w:rPr>
        <w:t>9</w:t>
      </w:r>
      <w:r w:rsidRPr="003234C5">
        <w:rPr>
          <w:rFonts w:ascii="Arial" w:hAnsi="Arial" w:cs="Arial"/>
        </w:rPr>
        <w:t xml:space="preserve">, a Companhia segregou das contas a receber no Ativo Circulante os valores referentes a transações com partes relacionadas, bem como transferiu para o longo prazo os </w:t>
      </w:r>
      <w:r w:rsidR="00F970BD" w:rsidRPr="003234C5">
        <w:rPr>
          <w:rFonts w:ascii="Arial" w:hAnsi="Arial" w:cs="Arial"/>
        </w:rPr>
        <w:t>montantes</w:t>
      </w:r>
      <w:r w:rsidRPr="003234C5">
        <w:rPr>
          <w:rFonts w:ascii="Arial" w:hAnsi="Arial" w:cs="Arial"/>
        </w:rPr>
        <w:t xml:space="preserve"> objeto de ações de cobrança judicial</w:t>
      </w:r>
      <w:r w:rsidR="00F970BD" w:rsidRPr="003234C5">
        <w:rPr>
          <w:rFonts w:ascii="Arial" w:hAnsi="Arial" w:cs="Arial"/>
        </w:rPr>
        <w:t>,</w:t>
      </w:r>
      <w:r w:rsidRPr="003234C5">
        <w:rPr>
          <w:rFonts w:ascii="Arial" w:hAnsi="Arial" w:cs="Arial"/>
        </w:rPr>
        <w:t xml:space="preserve"> </w:t>
      </w:r>
      <w:r w:rsidR="00F970BD" w:rsidRPr="003234C5">
        <w:rPr>
          <w:rFonts w:ascii="Arial" w:hAnsi="Arial" w:cs="Arial"/>
        </w:rPr>
        <w:t>com</w:t>
      </w:r>
      <w:r w:rsidRPr="003234C5">
        <w:rPr>
          <w:rFonts w:ascii="Arial" w:hAnsi="Arial" w:cs="Arial"/>
        </w:rPr>
        <w:t xml:space="preserve"> expectativas de recebimento</w:t>
      </w:r>
      <w:r w:rsidR="00F970BD" w:rsidRPr="003234C5">
        <w:rPr>
          <w:rFonts w:ascii="Arial" w:hAnsi="Arial" w:cs="Arial"/>
        </w:rPr>
        <w:t xml:space="preserve"> que</w:t>
      </w:r>
      <w:r w:rsidRPr="003234C5">
        <w:rPr>
          <w:rFonts w:ascii="Arial" w:hAnsi="Arial" w:cs="Arial"/>
        </w:rPr>
        <w:t xml:space="preserve"> ultrapassa</w:t>
      </w:r>
      <w:r w:rsidR="00F970BD" w:rsidRPr="003234C5">
        <w:rPr>
          <w:rFonts w:ascii="Arial" w:hAnsi="Arial" w:cs="Arial"/>
        </w:rPr>
        <w:t>m</w:t>
      </w:r>
      <w:r w:rsidRPr="003234C5">
        <w:rPr>
          <w:rFonts w:ascii="Arial" w:hAnsi="Arial" w:cs="Arial"/>
        </w:rPr>
        <w:t xml:space="preserve"> o exercício social</w:t>
      </w:r>
      <w:r w:rsidR="00F970BD" w:rsidRPr="003234C5">
        <w:rPr>
          <w:rFonts w:ascii="Arial" w:hAnsi="Arial" w:cs="Arial"/>
        </w:rPr>
        <w:t xml:space="preserve">. </w:t>
      </w:r>
      <w:r w:rsidRPr="003234C5">
        <w:rPr>
          <w:rFonts w:ascii="Arial" w:hAnsi="Arial" w:cs="Arial"/>
        </w:rPr>
        <w:t xml:space="preserve">Na tabela abaixo, </w:t>
      </w:r>
      <w:r w:rsidR="00F970BD" w:rsidRPr="003234C5">
        <w:rPr>
          <w:rFonts w:ascii="Arial" w:hAnsi="Arial" w:cs="Arial"/>
        </w:rPr>
        <w:t>destacamos</w:t>
      </w:r>
      <w:r w:rsidRPr="003234C5">
        <w:rPr>
          <w:rFonts w:ascii="Arial" w:hAnsi="Arial" w:cs="Arial"/>
        </w:rPr>
        <w:t xml:space="preserve"> a composição do contas a receber </w:t>
      </w:r>
      <w:r w:rsidR="00200682" w:rsidRPr="003234C5">
        <w:rPr>
          <w:rFonts w:ascii="Arial" w:hAnsi="Arial" w:cs="Arial"/>
        </w:rPr>
        <w:t>com partes relacionadas:</w:t>
      </w:r>
    </w:p>
    <w:p w14:paraId="10A4C1EE" w14:textId="77777777" w:rsidR="008B5CDD" w:rsidRPr="003234C5" w:rsidRDefault="008B5CDD" w:rsidP="008B5CDD">
      <w:pPr>
        <w:spacing w:after="0"/>
        <w:jc w:val="both"/>
        <w:rPr>
          <w:rFonts w:ascii="Arial" w:hAnsi="Arial" w:cs="Arial"/>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6"/>
        <w:gridCol w:w="1559"/>
        <w:gridCol w:w="1417"/>
      </w:tblGrid>
      <w:tr w:rsidR="00E52B67" w:rsidRPr="003234C5" w14:paraId="063FDB98" w14:textId="77777777" w:rsidTr="560654F9">
        <w:trPr>
          <w:trHeight w:val="227"/>
        </w:trPr>
        <w:tc>
          <w:tcPr>
            <w:tcW w:w="6096" w:type="dxa"/>
            <w:shd w:val="clear" w:color="auto" w:fill="C0C0C0"/>
            <w:vAlign w:val="center"/>
          </w:tcPr>
          <w:p w14:paraId="7615FFF8" w14:textId="77777777" w:rsidR="00E42FD3" w:rsidRPr="003234C5" w:rsidRDefault="00E42FD3" w:rsidP="00E42FD3">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CIRCULANTE</w:t>
            </w:r>
          </w:p>
        </w:tc>
        <w:tc>
          <w:tcPr>
            <w:tcW w:w="1559" w:type="dxa"/>
            <w:shd w:val="clear" w:color="auto" w:fill="C0C0C0"/>
          </w:tcPr>
          <w:p w14:paraId="4509D550" w14:textId="5762418E" w:rsidR="00E42FD3" w:rsidRPr="003234C5" w:rsidRDefault="00C6257E" w:rsidP="00E42FD3">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417" w:type="dxa"/>
            <w:shd w:val="clear" w:color="auto" w:fill="C0C0C0"/>
            <w:vAlign w:val="center"/>
          </w:tcPr>
          <w:p w14:paraId="25494098" w14:textId="0B01DA99" w:rsidR="00E42FD3" w:rsidRPr="003234C5" w:rsidRDefault="00C6257E" w:rsidP="00E42FD3">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E52B67" w:rsidRPr="003234C5" w14:paraId="1B8AAB03" w14:textId="77777777" w:rsidTr="560654F9">
        <w:trPr>
          <w:trHeight w:val="227"/>
        </w:trPr>
        <w:tc>
          <w:tcPr>
            <w:tcW w:w="6096" w:type="dxa"/>
            <w:shd w:val="clear" w:color="auto" w:fill="FFFFFF" w:themeFill="background1"/>
            <w:vAlign w:val="bottom"/>
          </w:tcPr>
          <w:p w14:paraId="5AD7F78F" w14:textId="64362FCD"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Petrobras Distribuidora S.A.</w:t>
            </w:r>
          </w:p>
        </w:tc>
        <w:tc>
          <w:tcPr>
            <w:tcW w:w="1559" w:type="dxa"/>
            <w:shd w:val="clear" w:color="auto" w:fill="FFFFFF" w:themeFill="background1"/>
            <w:vAlign w:val="center"/>
          </w:tcPr>
          <w:p w14:paraId="2A4122A2" w14:textId="79A30D74" w:rsidR="00491426" w:rsidRPr="003234C5" w:rsidRDefault="13FC9868" w:rsidP="00491426">
            <w:pPr>
              <w:spacing w:after="0"/>
              <w:jc w:val="right"/>
              <w:rPr>
                <w:rFonts w:ascii="Arial" w:hAnsi="Arial" w:cs="Arial"/>
                <w:sz w:val="20"/>
                <w:szCs w:val="20"/>
              </w:rPr>
            </w:pPr>
            <w:r w:rsidRPr="560654F9">
              <w:rPr>
                <w:rFonts w:ascii="Arial" w:hAnsi="Arial" w:cs="Arial"/>
                <w:sz w:val="20"/>
                <w:szCs w:val="20"/>
              </w:rPr>
              <w:t>-</w:t>
            </w:r>
          </w:p>
        </w:tc>
        <w:tc>
          <w:tcPr>
            <w:tcW w:w="1417" w:type="dxa"/>
            <w:shd w:val="clear" w:color="auto" w:fill="FFFFFF" w:themeFill="background1"/>
            <w:vAlign w:val="center"/>
          </w:tcPr>
          <w:p w14:paraId="1FDA7A18" w14:textId="3313E3FF"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1.818</w:t>
            </w:r>
          </w:p>
        </w:tc>
      </w:tr>
      <w:tr w:rsidR="00E52B67" w:rsidRPr="003234C5" w14:paraId="6E85D3F4" w14:textId="77777777" w:rsidTr="560654F9">
        <w:trPr>
          <w:trHeight w:val="227"/>
        </w:trPr>
        <w:tc>
          <w:tcPr>
            <w:tcW w:w="6096" w:type="dxa"/>
            <w:shd w:val="clear" w:color="auto" w:fill="FFFFFF" w:themeFill="background1"/>
            <w:vAlign w:val="bottom"/>
          </w:tcPr>
          <w:p w14:paraId="711FDC10" w14:textId="24661247"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 xml:space="preserve">Petróleo Brasileiro S.A.(LUBNOR) </w:t>
            </w:r>
          </w:p>
        </w:tc>
        <w:tc>
          <w:tcPr>
            <w:tcW w:w="1559" w:type="dxa"/>
            <w:shd w:val="clear" w:color="auto" w:fill="FFFFFF" w:themeFill="background1"/>
            <w:vAlign w:val="center"/>
          </w:tcPr>
          <w:p w14:paraId="6E4A486C" w14:textId="641AA38D" w:rsidR="00491426" w:rsidRPr="003234C5" w:rsidRDefault="70E19ACE" w:rsidP="00491426">
            <w:pPr>
              <w:spacing w:after="0"/>
              <w:jc w:val="right"/>
              <w:rPr>
                <w:rFonts w:ascii="Arial" w:hAnsi="Arial" w:cs="Arial"/>
                <w:color w:val="000000"/>
                <w:sz w:val="20"/>
                <w:szCs w:val="20"/>
              </w:rPr>
            </w:pPr>
            <w:r w:rsidRPr="560654F9">
              <w:rPr>
                <w:rFonts w:ascii="Arial" w:hAnsi="Arial" w:cs="Arial"/>
                <w:color w:val="000000" w:themeColor="text1"/>
                <w:sz w:val="20"/>
                <w:szCs w:val="20"/>
              </w:rPr>
              <w:t>21</w:t>
            </w:r>
          </w:p>
        </w:tc>
        <w:tc>
          <w:tcPr>
            <w:tcW w:w="1417" w:type="dxa"/>
            <w:shd w:val="clear" w:color="auto" w:fill="FFFFFF" w:themeFill="background1"/>
            <w:vAlign w:val="center"/>
          </w:tcPr>
          <w:p w14:paraId="32C945C1" w14:textId="692616AC" w:rsidR="00491426" w:rsidRPr="003234C5" w:rsidRDefault="00491426" w:rsidP="00491426">
            <w:pPr>
              <w:spacing w:after="0"/>
              <w:jc w:val="right"/>
              <w:rPr>
                <w:rFonts w:ascii="Arial" w:hAnsi="Arial" w:cs="Arial"/>
                <w:color w:val="000000"/>
                <w:sz w:val="20"/>
                <w:szCs w:val="20"/>
              </w:rPr>
            </w:pPr>
            <w:r w:rsidRPr="003234C5">
              <w:rPr>
                <w:rFonts w:ascii="Arial" w:hAnsi="Arial" w:cs="Arial"/>
                <w:color w:val="000000"/>
                <w:sz w:val="20"/>
                <w:szCs w:val="20"/>
              </w:rPr>
              <w:t>-</w:t>
            </w:r>
          </w:p>
        </w:tc>
      </w:tr>
      <w:tr w:rsidR="00E52B67" w:rsidRPr="003234C5" w14:paraId="11ED335D" w14:textId="77777777" w:rsidTr="560654F9">
        <w:trPr>
          <w:trHeight w:val="227"/>
        </w:trPr>
        <w:tc>
          <w:tcPr>
            <w:tcW w:w="6096" w:type="dxa"/>
            <w:tcBorders>
              <w:bottom w:val="single" w:sz="4" w:space="0" w:color="auto"/>
            </w:tcBorders>
            <w:shd w:val="clear" w:color="auto" w:fill="C0C0C0"/>
            <w:vAlign w:val="center"/>
          </w:tcPr>
          <w:p w14:paraId="3E991B4B" w14:textId="77777777" w:rsidR="00491426" w:rsidRPr="003234C5" w:rsidRDefault="00491426" w:rsidP="00491426">
            <w:pPr>
              <w:spacing w:after="0"/>
              <w:jc w:val="both"/>
              <w:rPr>
                <w:rFonts w:ascii="Arial" w:hAnsi="Arial" w:cs="Arial"/>
                <w:sz w:val="20"/>
                <w:szCs w:val="20"/>
              </w:rPr>
            </w:pPr>
            <w:r w:rsidRPr="003234C5">
              <w:rPr>
                <w:rFonts w:ascii="Arial" w:hAnsi="Arial" w:cs="Arial"/>
                <w:b/>
                <w:sz w:val="20"/>
                <w:szCs w:val="20"/>
              </w:rPr>
              <w:t>TOTAL</w:t>
            </w:r>
          </w:p>
        </w:tc>
        <w:tc>
          <w:tcPr>
            <w:tcW w:w="1559" w:type="dxa"/>
            <w:tcBorders>
              <w:bottom w:val="single" w:sz="4" w:space="0" w:color="auto"/>
            </w:tcBorders>
            <w:shd w:val="clear" w:color="auto" w:fill="C0C0C0"/>
            <w:vAlign w:val="center"/>
          </w:tcPr>
          <w:p w14:paraId="12B8D78D" w14:textId="5F5578AF" w:rsidR="00491426" w:rsidRPr="003234C5" w:rsidRDefault="6E15A559" w:rsidP="560654F9">
            <w:pPr>
              <w:spacing w:after="0"/>
              <w:jc w:val="right"/>
              <w:rPr>
                <w:rFonts w:ascii="Arial" w:hAnsi="Arial" w:cs="Arial"/>
                <w:b/>
                <w:bCs/>
                <w:sz w:val="20"/>
                <w:szCs w:val="20"/>
              </w:rPr>
            </w:pPr>
            <w:r w:rsidRPr="560654F9">
              <w:rPr>
                <w:rFonts w:ascii="Arial" w:hAnsi="Arial" w:cs="Arial"/>
                <w:b/>
                <w:bCs/>
                <w:sz w:val="20"/>
                <w:szCs w:val="20"/>
              </w:rPr>
              <w:t>21</w:t>
            </w:r>
          </w:p>
        </w:tc>
        <w:tc>
          <w:tcPr>
            <w:tcW w:w="1417" w:type="dxa"/>
            <w:tcBorders>
              <w:bottom w:val="single" w:sz="4" w:space="0" w:color="auto"/>
            </w:tcBorders>
            <w:shd w:val="clear" w:color="auto" w:fill="C0C0C0"/>
            <w:vAlign w:val="center"/>
          </w:tcPr>
          <w:p w14:paraId="583204C1" w14:textId="51A52F22" w:rsidR="00491426" w:rsidRPr="003234C5" w:rsidRDefault="00491426" w:rsidP="00491426">
            <w:pPr>
              <w:spacing w:after="0"/>
              <w:jc w:val="right"/>
              <w:rPr>
                <w:rFonts w:ascii="Arial" w:hAnsi="Arial" w:cs="Arial"/>
                <w:b/>
                <w:sz w:val="20"/>
                <w:szCs w:val="20"/>
              </w:rPr>
            </w:pPr>
            <w:r w:rsidRPr="003234C5">
              <w:rPr>
                <w:rFonts w:ascii="Arial" w:hAnsi="Arial" w:cs="Arial"/>
                <w:b/>
                <w:bCs/>
                <w:color w:val="000000"/>
                <w:sz w:val="20"/>
                <w:szCs w:val="20"/>
              </w:rPr>
              <w:t>1.818</w:t>
            </w:r>
          </w:p>
        </w:tc>
      </w:tr>
      <w:tr w:rsidR="00F13F0B" w:rsidRPr="003234C5" w14:paraId="309BCC3A" w14:textId="77777777" w:rsidTr="560654F9">
        <w:trPr>
          <w:trHeight w:val="227"/>
        </w:trPr>
        <w:tc>
          <w:tcPr>
            <w:tcW w:w="6096" w:type="dxa"/>
            <w:tcBorders>
              <w:left w:val="nil"/>
              <w:right w:val="nil"/>
            </w:tcBorders>
            <w:shd w:val="clear" w:color="auto" w:fill="auto"/>
            <w:vAlign w:val="center"/>
          </w:tcPr>
          <w:p w14:paraId="27B09AAB" w14:textId="77777777" w:rsidR="00F13F0B" w:rsidRPr="003234C5" w:rsidRDefault="00F13F0B" w:rsidP="00F26E39">
            <w:pPr>
              <w:autoSpaceDE w:val="0"/>
              <w:autoSpaceDN w:val="0"/>
              <w:adjustRightInd w:val="0"/>
              <w:spacing w:after="0"/>
              <w:jc w:val="both"/>
              <w:rPr>
                <w:rFonts w:ascii="Arial" w:hAnsi="Arial" w:cs="Arial"/>
                <w:b/>
                <w:sz w:val="20"/>
                <w:szCs w:val="20"/>
              </w:rPr>
            </w:pPr>
          </w:p>
        </w:tc>
        <w:tc>
          <w:tcPr>
            <w:tcW w:w="1559" w:type="dxa"/>
            <w:tcBorders>
              <w:left w:val="nil"/>
              <w:right w:val="nil"/>
            </w:tcBorders>
            <w:shd w:val="clear" w:color="auto" w:fill="auto"/>
          </w:tcPr>
          <w:p w14:paraId="3D2A4A3E" w14:textId="77777777" w:rsidR="00F13F0B" w:rsidRPr="003234C5" w:rsidRDefault="00F13F0B" w:rsidP="00F26E39">
            <w:pPr>
              <w:autoSpaceDE w:val="0"/>
              <w:autoSpaceDN w:val="0"/>
              <w:adjustRightInd w:val="0"/>
              <w:spacing w:after="0"/>
              <w:jc w:val="center"/>
              <w:rPr>
                <w:rFonts w:ascii="Arial" w:hAnsi="Arial" w:cs="Arial"/>
                <w:b/>
                <w:sz w:val="20"/>
                <w:szCs w:val="20"/>
              </w:rPr>
            </w:pPr>
          </w:p>
        </w:tc>
        <w:tc>
          <w:tcPr>
            <w:tcW w:w="1417" w:type="dxa"/>
            <w:tcBorders>
              <w:left w:val="nil"/>
              <w:right w:val="nil"/>
            </w:tcBorders>
            <w:shd w:val="clear" w:color="auto" w:fill="auto"/>
          </w:tcPr>
          <w:p w14:paraId="1A6F083D" w14:textId="77777777" w:rsidR="00F13F0B" w:rsidRPr="003234C5" w:rsidRDefault="00F13F0B" w:rsidP="00F26E39">
            <w:pPr>
              <w:autoSpaceDE w:val="0"/>
              <w:autoSpaceDN w:val="0"/>
              <w:adjustRightInd w:val="0"/>
              <w:spacing w:after="0"/>
              <w:jc w:val="center"/>
              <w:rPr>
                <w:rFonts w:ascii="Arial" w:hAnsi="Arial" w:cs="Arial"/>
                <w:b/>
                <w:sz w:val="20"/>
                <w:szCs w:val="20"/>
              </w:rPr>
            </w:pPr>
          </w:p>
        </w:tc>
      </w:tr>
      <w:tr w:rsidR="00E52B67" w:rsidRPr="003234C5" w14:paraId="6646508D" w14:textId="77777777" w:rsidTr="560654F9">
        <w:trPr>
          <w:trHeight w:val="227"/>
        </w:trPr>
        <w:tc>
          <w:tcPr>
            <w:tcW w:w="6096" w:type="dxa"/>
            <w:shd w:val="clear" w:color="auto" w:fill="C0C0C0"/>
            <w:vAlign w:val="center"/>
          </w:tcPr>
          <w:p w14:paraId="44762135" w14:textId="77777777" w:rsidR="00E42FD3" w:rsidRPr="003234C5" w:rsidRDefault="00E42FD3" w:rsidP="00E42FD3">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NÃO CIRCULANTE</w:t>
            </w:r>
          </w:p>
        </w:tc>
        <w:tc>
          <w:tcPr>
            <w:tcW w:w="1559" w:type="dxa"/>
            <w:shd w:val="clear" w:color="auto" w:fill="C0C0C0"/>
          </w:tcPr>
          <w:p w14:paraId="02E4D3DC" w14:textId="2EA4B516" w:rsidR="00E42FD3" w:rsidRPr="003234C5" w:rsidRDefault="00C6257E" w:rsidP="00E42FD3">
            <w:pPr>
              <w:autoSpaceDE w:val="0"/>
              <w:autoSpaceDN w:val="0"/>
              <w:adjustRightInd w:val="0"/>
              <w:spacing w:after="0"/>
              <w:jc w:val="center"/>
              <w:rPr>
                <w:rFonts w:ascii="Arial" w:hAnsi="Arial" w:cs="Arial"/>
                <w:b/>
                <w:sz w:val="20"/>
                <w:szCs w:val="20"/>
              </w:rPr>
            </w:pPr>
            <w:r>
              <w:rPr>
                <w:rFonts w:ascii="Arial" w:hAnsi="Arial" w:cs="Arial"/>
                <w:b/>
                <w:sz w:val="20"/>
                <w:szCs w:val="20"/>
              </w:rPr>
              <w:t>2019</w:t>
            </w:r>
          </w:p>
        </w:tc>
        <w:tc>
          <w:tcPr>
            <w:tcW w:w="1417" w:type="dxa"/>
            <w:shd w:val="clear" w:color="auto" w:fill="C0C0C0"/>
            <w:vAlign w:val="center"/>
          </w:tcPr>
          <w:p w14:paraId="1FA05E17" w14:textId="6A2FCDE7" w:rsidR="00E42FD3" w:rsidRPr="003234C5" w:rsidRDefault="00C6257E" w:rsidP="00E42FD3">
            <w:pPr>
              <w:autoSpaceDE w:val="0"/>
              <w:autoSpaceDN w:val="0"/>
              <w:adjustRightInd w:val="0"/>
              <w:spacing w:after="0"/>
              <w:jc w:val="center"/>
              <w:rPr>
                <w:rFonts w:ascii="Arial" w:hAnsi="Arial" w:cs="Arial"/>
                <w:b/>
                <w:sz w:val="20"/>
                <w:szCs w:val="20"/>
              </w:rPr>
            </w:pPr>
            <w:r>
              <w:rPr>
                <w:rFonts w:ascii="Arial" w:hAnsi="Arial" w:cs="Arial"/>
                <w:b/>
                <w:sz w:val="20"/>
                <w:szCs w:val="20"/>
              </w:rPr>
              <w:t>2018</w:t>
            </w:r>
          </w:p>
        </w:tc>
      </w:tr>
      <w:tr w:rsidR="00E52B67" w:rsidRPr="003234C5" w14:paraId="5B74193D" w14:textId="77777777" w:rsidTr="560654F9">
        <w:trPr>
          <w:trHeight w:val="227"/>
        </w:trPr>
        <w:tc>
          <w:tcPr>
            <w:tcW w:w="6096" w:type="dxa"/>
            <w:shd w:val="clear" w:color="auto" w:fill="FFFFFF" w:themeFill="background1"/>
            <w:vAlign w:val="bottom"/>
          </w:tcPr>
          <w:p w14:paraId="328D2AE8" w14:textId="77777777" w:rsidR="002C5434" w:rsidRPr="003234C5" w:rsidRDefault="002C5434" w:rsidP="002C5434">
            <w:pPr>
              <w:spacing w:after="0"/>
              <w:jc w:val="both"/>
              <w:rPr>
                <w:rFonts w:ascii="Arial" w:hAnsi="Arial" w:cs="Arial"/>
                <w:sz w:val="20"/>
                <w:szCs w:val="20"/>
              </w:rPr>
            </w:pPr>
            <w:r w:rsidRPr="003234C5">
              <w:rPr>
                <w:rFonts w:ascii="Arial" w:hAnsi="Arial" w:cs="Arial"/>
                <w:sz w:val="20"/>
                <w:szCs w:val="20"/>
              </w:rPr>
              <w:t>Petrobras Distribuidora S.A.</w:t>
            </w:r>
          </w:p>
        </w:tc>
        <w:tc>
          <w:tcPr>
            <w:tcW w:w="1559" w:type="dxa"/>
            <w:shd w:val="clear" w:color="auto" w:fill="FFFFFF" w:themeFill="background1"/>
            <w:vAlign w:val="center"/>
          </w:tcPr>
          <w:p w14:paraId="6CB3DF85" w14:textId="0435BF2A" w:rsidR="002C5434" w:rsidRPr="003234C5" w:rsidRDefault="36CE4D38" w:rsidP="002C5434">
            <w:pPr>
              <w:spacing w:after="0"/>
              <w:jc w:val="right"/>
              <w:rPr>
                <w:rFonts w:ascii="Arial" w:hAnsi="Arial" w:cs="Arial"/>
                <w:sz w:val="20"/>
                <w:szCs w:val="20"/>
              </w:rPr>
            </w:pPr>
            <w:r w:rsidRPr="560654F9">
              <w:rPr>
                <w:rFonts w:ascii="Arial" w:hAnsi="Arial" w:cs="Arial"/>
                <w:sz w:val="20"/>
                <w:szCs w:val="20"/>
              </w:rPr>
              <w:t>-</w:t>
            </w:r>
          </w:p>
        </w:tc>
        <w:tc>
          <w:tcPr>
            <w:tcW w:w="1417" w:type="dxa"/>
            <w:shd w:val="clear" w:color="auto" w:fill="FFFFFF" w:themeFill="background1"/>
            <w:vAlign w:val="center"/>
          </w:tcPr>
          <w:p w14:paraId="4B92D7F8" w14:textId="51E31B3A" w:rsidR="002C5434" w:rsidRPr="003234C5" w:rsidRDefault="002C5434" w:rsidP="002C5434">
            <w:pPr>
              <w:spacing w:after="0"/>
              <w:jc w:val="right"/>
              <w:rPr>
                <w:rFonts w:ascii="Arial" w:hAnsi="Arial" w:cs="Arial"/>
                <w:sz w:val="20"/>
                <w:szCs w:val="20"/>
              </w:rPr>
            </w:pPr>
            <w:r w:rsidRPr="003234C5">
              <w:rPr>
                <w:rFonts w:ascii="Arial" w:hAnsi="Arial" w:cs="Arial"/>
                <w:color w:val="000000"/>
                <w:sz w:val="20"/>
                <w:szCs w:val="20"/>
              </w:rPr>
              <w:t>13.516</w:t>
            </w:r>
          </w:p>
        </w:tc>
      </w:tr>
      <w:tr w:rsidR="00E52B67" w:rsidRPr="003234C5" w14:paraId="4DD481CF" w14:textId="77777777" w:rsidTr="560654F9">
        <w:trPr>
          <w:trHeight w:val="227"/>
        </w:trPr>
        <w:tc>
          <w:tcPr>
            <w:tcW w:w="6096" w:type="dxa"/>
            <w:shd w:val="clear" w:color="auto" w:fill="FFFFFF" w:themeFill="background1"/>
            <w:vAlign w:val="bottom"/>
          </w:tcPr>
          <w:p w14:paraId="0E15F962" w14:textId="25BDD240" w:rsidR="002C5434" w:rsidRPr="003234C5" w:rsidRDefault="002C5434" w:rsidP="002C5434">
            <w:pPr>
              <w:spacing w:after="0"/>
              <w:jc w:val="both"/>
              <w:rPr>
                <w:rFonts w:ascii="Arial" w:hAnsi="Arial" w:cs="Arial"/>
                <w:sz w:val="20"/>
                <w:szCs w:val="20"/>
              </w:rPr>
            </w:pPr>
            <w:r w:rsidRPr="560654F9">
              <w:rPr>
                <w:rFonts w:ascii="Arial" w:hAnsi="Arial" w:cs="Arial"/>
                <w:sz w:val="20"/>
                <w:szCs w:val="20"/>
              </w:rPr>
              <w:t>Petróleo Brasileiro S.A. (i)</w:t>
            </w:r>
          </w:p>
        </w:tc>
        <w:tc>
          <w:tcPr>
            <w:tcW w:w="1559" w:type="dxa"/>
            <w:shd w:val="clear" w:color="auto" w:fill="FFFFFF" w:themeFill="background1"/>
            <w:vAlign w:val="center"/>
          </w:tcPr>
          <w:p w14:paraId="7C0CEFE7" w14:textId="04E9A01B" w:rsidR="002C5434" w:rsidRPr="003234C5" w:rsidRDefault="7982C2AB" w:rsidP="002C5434">
            <w:pPr>
              <w:spacing w:after="0"/>
              <w:jc w:val="right"/>
              <w:rPr>
                <w:rFonts w:ascii="Arial" w:hAnsi="Arial" w:cs="Arial"/>
                <w:sz w:val="20"/>
                <w:szCs w:val="20"/>
              </w:rPr>
            </w:pPr>
            <w:r w:rsidRPr="560654F9">
              <w:rPr>
                <w:rFonts w:ascii="Arial" w:hAnsi="Arial" w:cs="Arial"/>
                <w:sz w:val="20"/>
                <w:szCs w:val="20"/>
              </w:rPr>
              <w:t>1.110</w:t>
            </w:r>
          </w:p>
        </w:tc>
        <w:tc>
          <w:tcPr>
            <w:tcW w:w="1417" w:type="dxa"/>
            <w:shd w:val="clear" w:color="auto" w:fill="FFFFFF" w:themeFill="background1"/>
            <w:vAlign w:val="center"/>
          </w:tcPr>
          <w:p w14:paraId="175C5FD1" w14:textId="426192ED" w:rsidR="002C5434" w:rsidRPr="003234C5" w:rsidRDefault="002C5434" w:rsidP="002C5434">
            <w:pPr>
              <w:spacing w:after="0"/>
              <w:jc w:val="right"/>
              <w:rPr>
                <w:rFonts w:ascii="Arial" w:hAnsi="Arial" w:cs="Arial"/>
                <w:sz w:val="20"/>
                <w:szCs w:val="20"/>
              </w:rPr>
            </w:pPr>
            <w:r w:rsidRPr="003234C5">
              <w:rPr>
                <w:rFonts w:ascii="Arial" w:hAnsi="Arial" w:cs="Arial"/>
                <w:color w:val="000000"/>
                <w:sz w:val="20"/>
                <w:szCs w:val="20"/>
              </w:rPr>
              <w:t>1.110</w:t>
            </w:r>
          </w:p>
        </w:tc>
      </w:tr>
      <w:tr w:rsidR="00E52B67" w:rsidRPr="003234C5" w14:paraId="4833C8C6" w14:textId="77777777" w:rsidTr="560654F9">
        <w:trPr>
          <w:trHeight w:val="227"/>
        </w:trPr>
        <w:tc>
          <w:tcPr>
            <w:tcW w:w="6096" w:type="dxa"/>
            <w:shd w:val="clear" w:color="auto" w:fill="C0C0C0"/>
            <w:vAlign w:val="center"/>
          </w:tcPr>
          <w:p w14:paraId="0FF91254" w14:textId="77777777" w:rsidR="002C5434" w:rsidRPr="003234C5" w:rsidRDefault="002C5434" w:rsidP="002C5434">
            <w:pPr>
              <w:spacing w:after="0"/>
              <w:jc w:val="both"/>
              <w:rPr>
                <w:rFonts w:ascii="Arial" w:hAnsi="Arial" w:cs="Arial"/>
                <w:sz w:val="20"/>
                <w:szCs w:val="20"/>
              </w:rPr>
            </w:pPr>
            <w:r w:rsidRPr="003234C5">
              <w:rPr>
                <w:rFonts w:ascii="Arial" w:hAnsi="Arial" w:cs="Arial"/>
                <w:b/>
                <w:sz w:val="20"/>
                <w:szCs w:val="20"/>
              </w:rPr>
              <w:t>TOTAL</w:t>
            </w:r>
          </w:p>
        </w:tc>
        <w:tc>
          <w:tcPr>
            <w:tcW w:w="1559" w:type="dxa"/>
            <w:shd w:val="clear" w:color="auto" w:fill="C0C0C0"/>
            <w:vAlign w:val="center"/>
          </w:tcPr>
          <w:p w14:paraId="6140D9D6" w14:textId="050E5172" w:rsidR="002C5434" w:rsidRPr="003234C5" w:rsidRDefault="00C90ED8" w:rsidP="002C5434">
            <w:pPr>
              <w:spacing w:after="0"/>
              <w:jc w:val="right"/>
              <w:rPr>
                <w:rFonts w:ascii="Arial" w:hAnsi="Arial" w:cs="Arial"/>
                <w:b/>
                <w:sz w:val="20"/>
                <w:szCs w:val="20"/>
              </w:rPr>
            </w:pPr>
            <w:r>
              <w:rPr>
                <w:rFonts w:ascii="Arial" w:hAnsi="Arial" w:cs="Arial"/>
                <w:b/>
                <w:sz w:val="20"/>
                <w:szCs w:val="20"/>
              </w:rPr>
              <w:t>1.110</w:t>
            </w:r>
          </w:p>
        </w:tc>
        <w:tc>
          <w:tcPr>
            <w:tcW w:w="1417" w:type="dxa"/>
            <w:shd w:val="clear" w:color="auto" w:fill="C0C0C0"/>
            <w:vAlign w:val="center"/>
          </w:tcPr>
          <w:p w14:paraId="0FF1BEDC" w14:textId="3D7DA4CD" w:rsidR="002C5434" w:rsidRPr="003234C5" w:rsidRDefault="002C5434" w:rsidP="002C5434">
            <w:pPr>
              <w:spacing w:after="0"/>
              <w:jc w:val="right"/>
              <w:rPr>
                <w:rFonts w:ascii="Arial" w:hAnsi="Arial" w:cs="Arial"/>
                <w:sz w:val="20"/>
                <w:szCs w:val="20"/>
              </w:rPr>
            </w:pPr>
            <w:r w:rsidRPr="003234C5">
              <w:rPr>
                <w:rFonts w:ascii="Arial" w:hAnsi="Arial" w:cs="Arial"/>
                <w:b/>
                <w:bCs/>
                <w:color w:val="000000"/>
                <w:sz w:val="20"/>
                <w:szCs w:val="20"/>
              </w:rPr>
              <w:t>14.626</w:t>
            </w:r>
          </w:p>
        </w:tc>
      </w:tr>
    </w:tbl>
    <w:p w14:paraId="05AA3F61" w14:textId="77777777" w:rsidR="00B647A1" w:rsidRPr="003234C5" w:rsidRDefault="00B647A1" w:rsidP="00B647A1">
      <w:pPr>
        <w:autoSpaceDE w:val="0"/>
        <w:autoSpaceDN w:val="0"/>
        <w:adjustRightInd w:val="0"/>
        <w:jc w:val="both"/>
        <w:rPr>
          <w:rFonts w:ascii="Arial" w:hAnsi="Arial" w:cs="Arial"/>
          <w:sz w:val="24"/>
          <w:szCs w:val="24"/>
        </w:rPr>
      </w:pPr>
    </w:p>
    <w:p w14:paraId="0B53A931" w14:textId="0BDDDED9" w:rsidR="00F970BD" w:rsidRPr="003234C5" w:rsidRDefault="00B647A1" w:rsidP="00B647A1">
      <w:pPr>
        <w:autoSpaceDE w:val="0"/>
        <w:autoSpaceDN w:val="0"/>
        <w:adjustRightInd w:val="0"/>
        <w:jc w:val="both"/>
        <w:rPr>
          <w:rFonts w:ascii="Arial" w:hAnsi="Arial" w:cs="Arial"/>
        </w:rPr>
      </w:pPr>
      <w:r w:rsidRPr="003234C5">
        <w:rPr>
          <w:rFonts w:ascii="Arial" w:hAnsi="Arial" w:cs="Arial"/>
        </w:rPr>
        <w:t>O valor registrado nesta</w:t>
      </w:r>
      <w:r w:rsidR="00F970BD" w:rsidRPr="003234C5">
        <w:rPr>
          <w:rFonts w:ascii="Arial" w:hAnsi="Arial" w:cs="Arial"/>
        </w:rPr>
        <w:t>s</w:t>
      </w:r>
      <w:r w:rsidRPr="003234C5">
        <w:rPr>
          <w:rFonts w:ascii="Arial" w:hAnsi="Arial" w:cs="Arial"/>
        </w:rPr>
        <w:t xml:space="preserve"> rubrica</w:t>
      </w:r>
      <w:r w:rsidR="00F970BD" w:rsidRPr="003234C5">
        <w:rPr>
          <w:rFonts w:ascii="Arial" w:hAnsi="Arial" w:cs="Arial"/>
        </w:rPr>
        <w:t>s</w:t>
      </w:r>
      <w:r w:rsidRPr="003234C5">
        <w:rPr>
          <w:rFonts w:ascii="Arial" w:hAnsi="Arial" w:cs="Arial"/>
        </w:rPr>
        <w:t xml:space="preserve"> refere-se </w:t>
      </w:r>
      <w:r w:rsidR="00EF0786" w:rsidRPr="003234C5">
        <w:rPr>
          <w:rFonts w:ascii="Arial" w:hAnsi="Arial" w:cs="Arial"/>
        </w:rPr>
        <w:t>a</w:t>
      </w:r>
      <w:r w:rsidR="00F970BD" w:rsidRPr="003234C5">
        <w:rPr>
          <w:rFonts w:ascii="Arial" w:hAnsi="Arial" w:cs="Arial"/>
        </w:rPr>
        <w:t>:</w:t>
      </w:r>
    </w:p>
    <w:p w14:paraId="16F66B86" w14:textId="0DD4C708" w:rsidR="00200682" w:rsidRPr="003234C5" w:rsidRDefault="008F3D25" w:rsidP="00200682">
      <w:pPr>
        <w:autoSpaceDE w:val="0"/>
        <w:autoSpaceDN w:val="0"/>
        <w:adjustRightInd w:val="0"/>
        <w:jc w:val="both"/>
        <w:rPr>
          <w:rFonts w:ascii="Arial" w:hAnsi="Arial" w:cs="Arial"/>
          <w:color w:val="000000" w:themeColor="text1"/>
        </w:rPr>
      </w:pPr>
      <w:r w:rsidRPr="009B5581">
        <w:rPr>
          <w:rFonts w:ascii="Arial" w:hAnsi="Arial" w:cs="Arial"/>
          <w:color w:val="000000" w:themeColor="text1"/>
        </w:rPr>
        <w:t>i) o</w:t>
      </w:r>
      <w:r w:rsidR="00200682" w:rsidRPr="009B5581">
        <w:rPr>
          <w:rFonts w:ascii="Arial" w:hAnsi="Arial" w:cs="Arial"/>
          <w:color w:val="000000" w:themeColor="text1"/>
        </w:rPr>
        <w:t xml:space="preserve"> valor de R$ </w:t>
      </w:r>
      <w:r w:rsidR="00D55B47" w:rsidRPr="009B5581">
        <w:rPr>
          <w:rFonts w:ascii="Arial" w:hAnsi="Arial" w:cs="Arial"/>
          <w:color w:val="000000" w:themeColor="text1"/>
        </w:rPr>
        <w:t>1.110</w:t>
      </w:r>
      <w:r w:rsidR="00200682" w:rsidRPr="009B5581">
        <w:rPr>
          <w:rFonts w:ascii="Arial" w:hAnsi="Arial" w:cs="Arial"/>
          <w:color w:val="000000" w:themeColor="text1"/>
        </w:rPr>
        <w:t xml:space="preserve"> a receber da Petróleo Brasileiro S.A. decorre de notas de débito emitidas pela </w:t>
      </w:r>
      <w:r w:rsidR="00F71A6C" w:rsidRPr="009B5581">
        <w:rPr>
          <w:rFonts w:ascii="Arial" w:hAnsi="Arial" w:cs="Arial"/>
          <w:color w:val="000000" w:themeColor="text1"/>
        </w:rPr>
        <w:t>CEGÁS</w:t>
      </w:r>
      <w:r w:rsidR="00235D4A" w:rsidRPr="009B5581">
        <w:rPr>
          <w:rFonts w:ascii="Arial" w:hAnsi="Arial" w:cs="Arial"/>
          <w:color w:val="000000" w:themeColor="text1"/>
        </w:rPr>
        <w:t>,</w:t>
      </w:r>
      <w:r w:rsidR="00200682" w:rsidRPr="009B5581">
        <w:rPr>
          <w:rFonts w:ascii="Arial" w:hAnsi="Arial" w:cs="Arial"/>
          <w:color w:val="000000" w:themeColor="text1"/>
        </w:rPr>
        <w:t xml:space="preserve"> referente à cobrança de margem </w:t>
      </w:r>
      <w:r w:rsidR="00704C20" w:rsidRPr="009B5581">
        <w:rPr>
          <w:rFonts w:ascii="Arial" w:hAnsi="Arial" w:cs="Arial"/>
          <w:color w:val="000000" w:themeColor="text1"/>
        </w:rPr>
        <w:t>de comercialização gerada em função da aplicação de cláusula contratual</w:t>
      </w:r>
      <w:r w:rsidR="00235D4A" w:rsidRPr="009B5581">
        <w:rPr>
          <w:rFonts w:ascii="Arial" w:hAnsi="Arial" w:cs="Arial"/>
          <w:color w:val="000000" w:themeColor="text1"/>
        </w:rPr>
        <w:t>,</w:t>
      </w:r>
      <w:r w:rsidR="00704C20" w:rsidRPr="009B5581">
        <w:rPr>
          <w:rFonts w:ascii="Arial" w:hAnsi="Arial" w:cs="Arial"/>
          <w:color w:val="000000" w:themeColor="text1"/>
        </w:rPr>
        <w:t xml:space="preserve"> que trata de</w:t>
      </w:r>
      <w:r w:rsidR="00200682" w:rsidRPr="009B5581">
        <w:rPr>
          <w:rFonts w:ascii="Arial" w:hAnsi="Arial" w:cs="Arial"/>
          <w:color w:val="000000" w:themeColor="text1"/>
        </w:rPr>
        <w:t xml:space="preserve"> penalidades aplicadas por falha de fornecimento da </w:t>
      </w:r>
      <w:r w:rsidR="00DE066F" w:rsidRPr="009B5581">
        <w:rPr>
          <w:rFonts w:ascii="Arial" w:hAnsi="Arial" w:cs="Arial"/>
          <w:color w:val="000000" w:themeColor="text1"/>
        </w:rPr>
        <w:t>Petrobras</w:t>
      </w:r>
      <w:r w:rsidR="00200682" w:rsidRPr="009B5581">
        <w:rPr>
          <w:rFonts w:ascii="Arial" w:hAnsi="Arial" w:cs="Arial"/>
          <w:color w:val="000000" w:themeColor="text1"/>
        </w:rPr>
        <w:t xml:space="preserve"> junto à </w:t>
      </w:r>
      <w:r w:rsidR="00F71A6C" w:rsidRPr="009B5581">
        <w:rPr>
          <w:rFonts w:ascii="Arial" w:hAnsi="Arial" w:cs="Arial"/>
          <w:color w:val="000000" w:themeColor="text1"/>
        </w:rPr>
        <w:t>CEGÁS</w:t>
      </w:r>
      <w:r w:rsidR="00200682" w:rsidRPr="009B5581">
        <w:rPr>
          <w:rFonts w:ascii="Arial" w:hAnsi="Arial" w:cs="Arial"/>
          <w:color w:val="000000" w:themeColor="text1"/>
        </w:rPr>
        <w:t>, e com esta junto à Central Geradora Termelétrica Fortaleza – CGTF.</w:t>
      </w:r>
    </w:p>
    <w:p w14:paraId="0687C26F" w14:textId="3DAB8DA2" w:rsidR="00200682" w:rsidRPr="003234C5" w:rsidRDefault="009D27C9" w:rsidP="00200682">
      <w:pPr>
        <w:autoSpaceDE w:val="0"/>
        <w:autoSpaceDN w:val="0"/>
        <w:adjustRightInd w:val="0"/>
        <w:jc w:val="both"/>
        <w:rPr>
          <w:rFonts w:ascii="Arial" w:hAnsi="Arial" w:cs="Arial"/>
          <w:color w:val="000000" w:themeColor="text1"/>
        </w:rPr>
      </w:pPr>
      <w:bookmarkStart w:id="7" w:name="_Hlk507073089"/>
      <w:r w:rsidRPr="003234C5">
        <w:rPr>
          <w:rFonts w:ascii="Arial" w:hAnsi="Arial" w:cs="Arial"/>
          <w:color w:val="000000" w:themeColor="text1"/>
        </w:rPr>
        <w:lastRenderedPageBreak/>
        <w:t xml:space="preserve">A possibilidade de aplicação de penalidade por falha de fornecimento de gás está prevista na Cláusula </w:t>
      </w:r>
      <w:r w:rsidR="000E17BD" w:rsidRPr="003234C5">
        <w:rPr>
          <w:rFonts w:ascii="Arial" w:hAnsi="Arial" w:cs="Arial"/>
          <w:color w:val="000000" w:themeColor="text1"/>
        </w:rPr>
        <w:t>9.8.2</w:t>
      </w:r>
      <w:r w:rsidRPr="003234C5">
        <w:rPr>
          <w:rFonts w:ascii="Arial" w:hAnsi="Arial" w:cs="Arial"/>
          <w:color w:val="000000" w:themeColor="text1"/>
        </w:rPr>
        <w:t xml:space="preserve"> do</w:t>
      </w:r>
      <w:r w:rsidR="000E17BD" w:rsidRPr="003234C5">
        <w:rPr>
          <w:rFonts w:ascii="Arial" w:hAnsi="Arial" w:cs="Arial"/>
          <w:color w:val="000000" w:themeColor="text1"/>
        </w:rPr>
        <w:t xml:space="preserve"> </w:t>
      </w:r>
      <w:r w:rsidR="00200682" w:rsidRPr="003234C5">
        <w:rPr>
          <w:rFonts w:ascii="Arial" w:hAnsi="Arial" w:cs="Arial"/>
          <w:color w:val="000000" w:themeColor="text1"/>
        </w:rPr>
        <w:t xml:space="preserve">Contrato de compra e venda de gás natural </w:t>
      </w:r>
      <w:r w:rsidRPr="003234C5">
        <w:rPr>
          <w:rFonts w:ascii="Arial" w:hAnsi="Arial" w:cs="Arial"/>
          <w:color w:val="000000" w:themeColor="text1"/>
        </w:rPr>
        <w:t xml:space="preserve">assinado em 16 de setembro de 2002, </w:t>
      </w:r>
      <w:r w:rsidR="00200682" w:rsidRPr="003234C5">
        <w:rPr>
          <w:rFonts w:ascii="Arial" w:hAnsi="Arial" w:cs="Arial"/>
          <w:color w:val="000000" w:themeColor="text1"/>
        </w:rPr>
        <w:t xml:space="preserve">entre a Companhia e a CGTF – Central Geradora Termelétrica Fortaleza, com a interveniência da </w:t>
      </w:r>
      <w:r w:rsidR="00DE066F" w:rsidRPr="003234C5">
        <w:rPr>
          <w:rFonts w:ascii="Arial" w:hAnsi="Arial" w:cs="Arial"/>
          <w:color w:val="000000" w:themeColor="text1"/>
        </w:rPr>
        <w:t>Petrobras</w:t>
      </w:r>
      <w:r w:rsidR="00200682" w:rsidRPr="003234C5">
        <w:rPr>
          <w:rFonts w:ascii="Arial" w:hAnsi="Arial" w:cs="Arial"/>
          <w:color w:val="000000" w:themeColor="text1"/>
        </w:rPr>
        <w:t>, com a finalidade de compra pela CGTF – Central Geradora Termelétrica Fortaleza e venda pela Companhia da quantidade 1.550.000 m³ diária (média diária anual)</w:t>
      </w:r>
      <w:r w:rsidR="005026CA" w:rsidRPr="003234C5">
        <w:rPr>
          <w:rFonts w:ascii="Arial" w:hAnsi="Arial" w:cs="Arial"/>
          <w:color w:val="000000" w:themeColor="text1"/>
        </w:rPr>
        <w:t xml:space="preserve">. </w:t>
      </w:r>
    </w:p>
    <w:p w14:paraId="6D66E43B" w14:textId="77777777" w:rsidR="006E72BE" w:rsidRPr="003234C5" w:rsidRDefault="005026CA" w:rsidP="00D55B47">
      <w:pPr>
        <w:autoSpaceDE w:val="0"/>
        <w:autoSpaceDN w:val="0"/>
        <w:adjustRightInd w:val="0"/>
        <w:jc w:val="both"/>
        <w:rPr>
          <w:rFonts w:ascii="Arial" w:hAnsi="Arial" w:cs="Arial"/>
        </w:rPr>
      </w:pPr>
      <w:r w:rsidRPr="003234C5">
        <w:rPr>
          <w:rFonts w:ascii="Arial" w:hAnsi="Arial" w:cs="Arial"/>
        </w:rPr>
        <w:t>Desta forma, e</w:t>
      </w:r>
      <w:r w:rsidR="00200682" w:rsidRPr="003234C5">
        <w:rPr>
          <w:rFonts w:ascii="Arial" w:hAnsi="Arial" w:cs="Arial"/>
        </w:rPr>
        <w:t>m dezembro de 201</w:t>
      </w:r>
      <w:r w:rsidR="00234059" w:rsidRPr="003234C5">
        <w:rPr>
          <w:rFonts w:ascii="Arial" w:hAnsi="Arial" w:cs="Arial"/>
        </w:rPr>
        <w:t>7</w:t>
      </w:r>
      <w:r w:rsidR="00200682" w:rsidRPr="003234C5">
        <w:rPr>
          <w:rFonts w:ascii="Arial" w:hAnsi="Arial" w:cs="Arial"/>
        </w:rPr>
        <w:t xml:space="preserve">, a </w:t>
      </w:r>
      <w:r w:rsidR="00DE066F" w:rsidRPr="003234C5">
        <w:rPr>
          <w:rFonts w:ascii="Arial" w:hAnsi="Arial" w:cs="Arial"/>
        </w:rPr>
        <w:t>Petrobras</w:t>
      </w:r>
      <w:r w:rsidR="00200682" w:rsidRPr="003234C5">
        <w:rPr>
          <w:rFonts w:ascii="Arial" w:hAnsi="Arial" w:cs="Arial"/>
        </w:rPr>
        <w:t xml:space="preserve"> não conseguiu fornecer gás à Companhia que, consequentemente, não forneceu a quantidade de gás solicitada pela CGTF</w:t>
      </w:r>
      <w:r w:rsidR="00965B87" w:rsidRPr="003234C5">
        <w:rPr>
          <w:rFonts w:ascii="Arial" w:hAnsi="Arial" w:cs="Arial"/>
        </w:rPr>
        <w:t xml:space="preserve"> </w:t>
      </w:r>
      <w:r w:rsidR="00200682" w:rsidRPr="003234C5">
        <w:rPr>
          <w:rFonts w:ascii="Arial" w:hAnsi="Arial" w:cs="Arial"/>
        </w:rPr>
        <w:t>– Central Geradora Termelétrica Fortaleza. Essas falhas de fornecimento geraram uma cobrança da CGTF – Central Geradora Termelétrica Fortaleza para a Companhia na ordem de R$ 71.199, conforme notas de débitos abaixo relacionadas:</w:t>
      </w:r>
    </w:p>
    <w:p w14:paraId="1E9E0B4F" w14:textId="5EE76051" w:rsidR="00D55B47" w:rsidRPr="003234C5" w:rsidRDefault="00D55B47" w:rsidP="00D55B47">
      <w:pPr>
        <w:autoSpaceDE w:val="0"/>
        <w:autoSpaceDN w:val="0"/>
        <w:adjustRightInd w:val="0"/>
        <w:jc w:val="both"/>
        <w:rPr>
          <w:rFonts w:ascii="Arial" w:hAnsi="Arial" w:cs="Arial"/>
        </w:rPr>
      </w:pPr>
      <w:r w:rsidRPr="003234C5">
        <w:rPr>
          <w:rFonts w:ascii="Arial" w:hAnsi="Arial" w:cs="Arial"/>
        </w:rPr>
        <w:t xml:space="preserv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7"/>
        <w:gridCol w:w="2410"/>
        <w:gridCol w:w="1842"/>
      </w:tblGrid>
      <w:tr w:rsidR="00D55B47" w:rsidRPr="003234C5" w14:paraId="670FE00F" w14:textId="77777777" w:rsidTr="00D55B47">
        <w:trPr>
          <w:trHeight w:val="227"/>
        </w:trPr>
        <w:tc>
          <w:tcPr>
            <w:tcW w:w="4707" w:type="dxa"/>
            <w:shd w:val="clear" w:color="auto" w:fill="C0C0C0"/>
            <w:vAlign w:val="center"/>
          </w:tcPr>
          <w:p w14:paraId="302488A7" w14:textId="77777777" w:rsidR="00D55B47" w:rsidRPr="003234C5" w:rsidRDefault="00D55B47" w:rsidP="00D55B47">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w:t>
            </w:r>
          </w:p>
        </w:tc>
        <w:tc>
          <w:tcPr>
            <w:tcW w:w="2410" w:type="dxa"/>
            <w:shd w:val="clear" w:color="auto" w:fill="C0C0C0"/>
          </w:tcPr>
          <w:p w14:paraId="049B35EE" w14:textId="77777777" w:rsidR="00D55B47" w:rsidRPr="003234C5" w:rsidRDefault="00D55B47" w:rsidP="00D55B47">
            <w:pPr>
              <w:autoSpaceDE w:val="0"/>
              <w:autoSpaceDN w:val="0"/>
              <w:adjustRightInd w:val="0"/>
              <w:spacing w:after="0"/>
              <w:rPr>
                <w:rFonts w:ascii="Arial" w:hAnsi="Arial" w:cs="Arial"/>
                <w:b/>
                <w:sz w:val="20"/>
                <w:szCs w:val="20"/>
              </w:rPr>
            </w:pPr>
            <w:r w:rsidRPr="003234C5">
              <w:rPr>
                <w:rFonts w:ascii="Arial" w:hAnsi="Arial" w:cs="Arial"/>
                <w:b/>
                <w:sz w:val="20"/>
                <w:szCs w:val="20"/>
              </w:rPr>
              <w:t>N° NOTA DE DÉBITO</w:t>
            </w:r>
          </w:p>
        </w:tc>
        <w:tc>
          <w:tcPr>
            <w:tcW w:w="1842" w:type="dxa"/>
            <w:shd w:val="clear" w:color="auto" w:fill="C0C0C0"/>
          </w:tcPr>
          <w:p w14:paraId="517094F8" w14:textId="77777777" w:rsidR="00D55B47" w:rsidRPr="003234C5" w:rsidRDefault="00D55B47" w:rsidP="00B10A7A">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VALOR R$</w:t>
            </w:r>
          </w:p>
        </w:tc>
      </w:tr>
      <w:tr w:rsidR="00D55B47" w:rsidRPr="003234C5" w14:paraId="515696C9" w14:textId="77777777" w:rsidTr="00D55B47">
        <w:trPr>
          <w:trHeight w:val="227"/>
        </w:trPr>
        <w:tc>
          <w:tcPr>
            <w:tcW w:w="4707" w:type="dxa"/>
            <w:shd w:val="clear" w:color="auto" w:fill="FFFFFF" w:themeFill="background1"/>
            <w:vAlign w:val="bottom"/>
          </w:tcPr>
          <w:p w14:paraId="671383DA" w14:textId="77777777" w:rsidR="00D55B47" w:rsidRPr="003234C5" w:rsidRDefault="00D55B47" w:rsidP="00D55B47">
            <w:pPr>
              <w:spacing w:after="0"/>
              <w:jc w:val="both"/>
              <w:rPr>
                <w:rFonts w:ascii="Arial" w:hAnsi="Arial" w:cs="Arial"/>
                <w:sz w:val="20"/>
                <w:szCs w:val="20"/>
              </w:rPr>
            </w:pPr>
            <w:r w:rsidRPr="003234C5">
              <w:rPr>
                <w:rFonts w:ascii="Arial" w:hAnsi="Arial" w:cs="Arial"/>
                <w:color w:val="000000" w:themeColor="text1"/>
                <w:sz w:val="20"/>
                <w:szCs w:val="20"/>
              </w:rPr>
              <w:t>Nota de Débito emitida pela CGTF</w:t>
            </w:r>
          </w:p>
        </w:tc>
        <w:tc>
          <w:tcPr>
            <w:tcW w:w="2410" w:type="dxa"/>
            <w:shd w:val="clear" w:color="auto" w:fill="FFFFFF" w:themeFill="background1"/>
          </w:tcPr>
          <w:p w14:paraId="72B62B51" w14:textId="77777777" w:rsidR="00D55B47" w:rsidRPr="003234C5" w:rsidRDefault="00D55B47" w:rsidP="00D55B47">
            <w:pPr>
              <w:spacing w:after="0"/>
              <w:rPr>
                <w:rFonts w:ascii="Arial" w:hAnsi="Arial" w:cs="Arial"/>
                <w:sz w:val="20"/>
                <w:szCs w:val="20"/>
              </w:rPr>
            </w:pPr>
            <w:r w:rsidRPr="003234C5">
              <w:rPr>
                <w:rFonts w:ascii="Arial" w:hAnsi="Arial" w:cs="Arial"/>
                <w:color w:val="000000" w:themeColor="text1"/>
                <w:sz w:val="20"/>
                <w:szCs w:val="20"/>
              </w:rPr>
              <w:t>ND-010-17-R</w:t>
            </w:r>
          </w:p>
        </w:tc>
        <w:tc>
          <w:tcPr>
            <w:tcW w:w="1842" w:type="dxa"/>
            <w:shd w:val="clear" w:color="auto" w:fill="FFFFFF" w:themeFill="background1"/>
          </w:tcPr>
          <w:p w14:paraId="51A8BC8F" w14:textId="1685647F" w:rsidR="00D55B47" w:rsidRPr="003234C5" w:rsidRDefault="00D55B47" w:rsidP="00D55B47">
            <w:pPr>
              <w:spacing w:after="0"/>
              <w:jc w:val="right"/>
              <w:rPr>
                <w:rFonts w:ascii="Arial" w:hAnsi="Arial" w:cs="Arial"/>
                <w:sz w:val="20"/>
                <w:szCs w:val="20"/>
              </w:rPr>
            </w:pPr>
            <w:r w:rsidRPr="003234C5">
              <w:rPr>
                <w:rFonts w:ascii="Arial" w:hAnsi="Arial" w:cs="Arial"/>
                <w:color w:val="000000" w:themeColor="text1"/>
                <w:sz w:val="20"/>
                <w:szCs w:val="20"/>
              </w:rPr>
              <w:t>68.813</w:t>
            </w:r>
          </w:p>
        </w:tc>
      </w:tr>
      <w:tr w:rsidR="00D55B47" w:rsidRPr="003234C5" w14:paraId="34DAFA60" w14:textId="77777777" w:rsidTr="00D55B47">
        <w:trPr>
          <w:trHeight w:val="227"/>
        </w:trPr>
        <w:tc>
          <w:tcPr>
            <w:tcW w:w="4707" w:type="dxa"/>
            <w:shd w:val="clear" w:color="auto" w:fill="FFFFFF" w:themeFill="background1"/>
            <w:vAlign w:val="bottom"/>
          </w:tcPr>
          <w:p w14:paraId="01E378E3" w14:textId="77777777" w:rsidR="00D55B47" w:rsidRPr="003234C5" w:rsidRDefault="00D55B47" w:rsidP="00D55B47">
            <w:pPr>
              <w:spacing w:after="0"/>
              <w:jc w:val="both"/>
              <w:rPr>
                <w:rFonts w:ascii="Arial" w:hAnsi="Arial" w:cs="Arial"/>
                <w:sz w:val="20"/>
                <w:szCs w:val="20"/>
              </w:rPr>
            </w:pPr>
            <w:r w:rsidRPr="003234C5">
              <w:rPr>
                <w:rFonts w:ascii="Arial" w:hAnsi="Arial" w:cs="Arial"/>
                <w:color w:val="000000" w:themeColor="text1"/>
                <w:sz w:val="20"/>
                <w:szCs w:val="20"/>
              </w:rPr>
              <w:t>Nota de Débito emitida pela CGTF</w:t>
            </w:r>
          </w:p>
        </w:tc>
        <w:tc>
          <w:tcPr>
            <w:tcW w:w="2410" w:type="dxa"/>
            <w:shd w:val="clear" w:color="auto" w:fill="FFFFFF" w:themeFill="background1"/>
          </w:tcPr>
          <w:p w14:paraId="0EA1441B" w14:textId="77777777" w:rsidR="00D55B47" w:rsidRPr="003234C5" w:rsidRDefault="00D55B47" w:rsidP="00D55B47">
            <w:pPr>
              <w:spacing w:after="0"/>
              <w:rPr>
                <w:rFonts w:ascii="Arial" w:hAnsi="Arial" w:cs="Arial"/>
                <w:sz w:val="20"/>
                <w:szCs w:val="20"/>
              </w:rPr>
            </w:pPr>
            <w:r w:rsidRPr="003234C5">
              <w:rPr>
                <w:rFonts w:ascii="Arial" w:hAnsi="Arial" w:cs="Arial"/>
                <w:color w:val="000000" w:themeColor="text1"/>
                <w:sz w:val="20"/>
                <w:szCs w:val="20"/>
              </w:rPr>
              <w:t>ND-001-18-R</w:t>
            </w:r>
          </w:p>
        </w:tc>
        <w:tc>
          <w:tcPr>
            <w:tcW w:w="1842" w:type="dxa"/>
            <w:shd w:val="clear" w:color="auto" w:fill="FFFFFF" w:themeFill="background1"/>
          </w:tcPr>
          <w:p w14:paraId="5BBE76A8" w14:textId="3CE75EF0" w:rsidR="00D55B47" w:rsidRPr="003234C5" w:rsidRDefault="00D55B47" w:rsidP="00D55B47">
            <w:pPr>
              <w:spacing w:after="0"/>
              <w:jc w:val="right"/>
              <w:rPr>
                <w:rFonts w:ascii="Arial" w:hAnsi="Arial" w:cs="Arial"/>
                <w:sz w:val="20"/>
                <w:szCs w:val="20"/>
              </w:rPr>
            </w:pPr>
            <w:r w:rsidRPr="003234C5">
              <w:rPr>
                <w:rFonts w:ascii="Arial" w:hAnsi="Arial" w:cs="Arial"/>
                <w:color w:val="000000" w:themeColor="text1"/>
                <w:sz w:val="20"/>
                <w:szCs w:val="20"/>
              </w:rPr>
              <w:t>2.386</w:t>
            </w:r>
          </w:p>
        </w:tc>
      </w:tr>
      <w:tr w:rsidR="00D55B47" w:rsidRPr="003234C5" w14:paraId="3AD054A9" w14:textId="77777777" w:rsidTr="00D55B47">
        <w:trPr>
          <w:trHeight w:val="227"/>
        </w:trPr>
        <w:tc>
          <w:tcPr>
            <w:tcW w:w="4707" w:type="dxa"/>
            <w:shd w:val="clear" w:color="auto" w:fill="C0C0C0"/>
            <w:vAlign w:val="center"/>
          </w:tcPr>
          <w:p w14:paraId="4FC40B91" w14:textId="77777777" w:rsidR="00D55B47" w:rsidRPr="003234C5" w:rsidRDefault="00D55B47" w:rsidP="00D55B47">
            <w:pPr>
              <w:spacing w:after="0"/>
              <w:jc w:val="both"/>
              <w:rPr>
                <w:rFonts w:ascii="Arial" w:hAnsi="Arial" w:cs="Arial"/>
                <w:sz w:val="20"/>
                <w:szCs w:val="20"/>
              </w:rPr>
            </w:pPr>
            <w:r w:rsidRPr="003234C5">
              <w:rPr>
                <w:rFonts w:ascii="Arial" w:hAnsi="Arial" w:cs="Arial"/>
                <w:b/>
                <w:sz w:val="20"/>
                <w:szCs w:val="20"/>
              </w:rPr>
              <w:t>TOTAL</w:t>
            </w:r>
          </w:p>
        </w:tc>
        <w:tc>
          <w:tcPr>
            <w:tcW w:w="2410" w:type="dxa"/>
            <w:shd w:val="clear" w:color="auto" w:fill="C0C0C0"/>
          </w:tcPr>
          <w:p w14:paraId="2EFC9996" w14:textId="77777777" w:rsidR="00D55B47" w:rsidRPr="003234C5" w:rsidRDefault="00D55B47" w:rsidP="00D55B47">
            <w:pPr>
              <w:spacing w:after="0"/>
              <w:jc w:val="right"/>
              <w:rPr>
                <w:rFonts w:ascii="Arial" w:hAnsi="Arial" w:cs="Arial"/>
                <w:b/>
                <w:sz w:val="20"/>
                <w:szCs w:val="20"/>
              </w:rPr>
            </w:pPr>
          </w:p>
        </w:tc>
        <w:tc>
          <w:tcPr>
            <w:tcW w:w="1842" w:type="dxa"/>
            <w:shd w:val="clear" w:color="auto" w:fill="C0C0C0"/>
          </w:tcPr>
          <w:p w14:paraId="2B9CD627" w14:textId="28915639" w:rsidR="00D55B47" w:rsidRPr="003234C5" w:rsidRDefault="00D55B47" w:rsidP="00D55B47">
            <w:pPr>
              <w:spacing w:after="0"/>
              <w:jc w:val="right"/>
              <w:rPr>
                <w:rFonts w:ascii="Arial" w:hAnsi="Arial" w:cs="Arial"/>
                <w:b/>
                <w:sz w:val="20"/>
                <w:szCs w:val="20"/>
              </w:rPr>
            </w:pPr>
            <w:r w:rsidRPr="003234C5">
              <w:rPr>
                <w:rFonts w:ascii="Arial" w:hAnsi="Arial" w:cs="Arial"/>
                <w:b/>
                <w:sz w:val="20"/>
                <w:szCs w:val="20"/>
              </w:rPr>
              <w:t>71.199</w:t>
            </w:r>
          </w:p>
        </w:tc>
      </w:tr>
    </w:tbl>
    <w:p w14:paraId="54F90515" w14:textId="77777777" w:rsidR="00216C47" w:rsidRPr="003234C5" w:rsidRDefault="00216C47" w:rsidP="00D55B47">
      <w:pPr>
        <w:autoSpaceDE w:val="0"/>
        <w:autoSpaceDN w:val="0"/>
        <w:adjustRightInd w:val="0"/>
        <w:jc w:val="both"/>
        <w:rPr>
          <w:rFonts w:ascii="Arial" w:hAnsi="Arial" w:cs="Arial"/>
        </w:rPr>
      </w:pPr>
    </w:p>
    <w:p w14:paraId="5E92B16E" w14:textId="4F2990CA" w:rsidR="00216C47" w:rsidRPr="003234C5" w:rsidRDefault="00D55B47" w:rsidP="00D55B47">
      <w:pPr>
        <w:autoSpaceDE w:val="0"/>
        <w:autoSpaceDN w:val="0"/>
        <w:adjustRightInd w:val="0"/>
        <w:jc w:val="both"/>
        <w:rPr>
          <w:rFonts w:ascii="Arial" w:hAnsi="Arial" w:cs="Arial"/>
        </w:rPr>
      </w:pPr>
      <w:r w:rsidRPr="003234C5">
        <w:rPr>
          <w:rFonts w:ascii="Arial" w:hAnsi="Arial" w:cs="Arial"/>
        </w:rPr>
        <w:t xml:space="preserve">Em contrapartida, a Companhia emitiu as seguintes notas de débitos contra </w:t>
      </w:r>
      <w:r w:rsidR="000F175B">
        <w:rPr>
          <w:rFonts w:ascii="Arial" w:hAnsi="Arial" w:cs="Arial"/>
        </w:rPr>
        <w:t>a</w:t>
      </w:r>
      <w:r w:rsidRPr="003234C5">
        <w:rPr>
          <w:rFonts w:ascii="Arial" w:hAnsi="Arial" w:cs="Arial"/>
        </w:rPr>
        <w:t xml:space="preserve"> Petrobras, no valor total de R$ 72.874</w:t>
      </w:r>
      <w:r w:rsidR="00216C47" w:rsidRPr="003234C5">
        <w:rPr>
          <w:rFonts w:ascii="Arial" w:hAnsi="Arial" w:cs="Arial"/>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7"/>
        <w:gridCol w:w="2410"/>
        <w:gridCol w:w="1842"/>
      </w:tblGrid>
      <w:tr w:rsidR="00D55B47" w:rsidRPr="003234C5" w14:paraId="4C23BA01" w14:textId="77777777" w:rsidTr="00D55B47">
        <w:trPr>
          <w:trHeight w:val="227"/>
        </w:trPr>
        <w:tc>
          <w:tcPr>
            <w:tcW w:w="4707" w:type="dxa"/>
            <w:shd w:val="clear" w:color="auto" w:fill="C0C0C0"/>
            <w:vAlign w:val="center"/>
          </w:tcPr>
          <w:p w14:paraId="4746FE5A" w14:textId="77777777" w:rsidR="00D55B47" w:rsidRPr="003234C5" w:rsidRDefault="00D55B47" w:rsidP="00D55B47">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w:t>
            </w:r>
          </w:p>
        </w:tc>
        <w:tc>
          <w:tcPr>
            <w:tcW w:w="2410" w:type="dxa"/>
            <w:shd w:val="clear" w:color="auto" w:fill="C0C0C0"/>
          </w:tcPr>
          <w:p w14:paraId="0998A1A2" w14:textId="77777777" w:rsidR="00D55B47" w:rsidRPr="003234C5" w:rsidRDefault="00D55B47" w:rsidP="00D55B47">
            <w:pPr>
              <w:autoSpaceDE w:val="0"/>
              <w:autoSpaceDN w:val="0"/>
              <w:adjustRightInd w:val="0"/>
              <w:spacing w:after="0"/>
              <w:rPr>
                <w:rFonts w:ascii="Arial" w:hAnsi="Arial" w:cs="Arial"/>
                <w:b/>
                <w:sz w:val="20"/>
                <w:szCs w:val="20"/>
              </w:rPr>
            </w:pPr>
            <w:r w:rsidRPr="003234C5">
              <w:rPr>
                <w:rFonts w:ascii="Arial" w:hAnsi="Arial" w:cs="Arial"/>
                <w:b/>
                <w:sz w:val="20"/>
                <w:szCs w:val="20"/>
              </w:rPr>
              <w:t>N° NOTA DE DÉBITO</w:t>
            </w:r>
          </w:p>
        </w:tc>
        <w:tc>
          <w:tcPr>
            <w:tcW w:w="1842" w:type="dxa"/>
            <w:shd w:val="clear" w:color="auto" w:fill="C0C0C0"/>
          </w:tcPr>
          <w:p w14:paraId="3F7D7CA6" w14:textId="77777777" w:rsidR="00D55B47" w:rsidRPr="003234C5" w:rsidRDefault="00D55B47" w:rsidP="00B10A7A">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VALOR R$</w:t>
            </w:r>
          </w:p>
        </w:tc>
      </w:tr>
      <w:tr w:rsidR="00D55B47" w:rsidRPr="003234C5" w14:paraId="4B99AC21" w14:textId="77777777" w:rsidTr="00D55B47">
        <w:trPr>
          <w:trHeight w:val="227"/>
        </w:trPr>
        <w:tc>
          <w:tcPr>
            <w:tcW w:w="4707" w:type="dxa"/>
            <w:shd w:val="clear" w:color="auto" w:fill="FFFFFF" w:themeFill="background1"/>
          </w:tcPr>
          <w:p w14:paraId="11A3A011" w14:textId="19AA6342" w:rsidR="00D55B47" w:rsidRPr="003234C5" w:rsidRDefault="00D55B47" w:rsidP="00D55B47">
            <w:pPr>
              <w:spacing w:after="0"/>
              <w:jc w:val="both"/>
              <w:rPr>
                <w:rFonts w:ascii="Arial" w:hAnsi="Arial" w:cs="Arial"/>
                <w:sz w:val="20"/>
                <w:szCs w:val="20"/>
              </w:rPr>
            </w:pPr>
            <w:r w:rsidRPr="003234C5">
              <w:rPr>
                <w:rFonts w:ascii="Arial" w:hAnsi="Arial" w:cs="Arial"/>
                <w:sz w:val="20"/>
                <w:szCs w:val="20"/>
              </w:rPr>
              <w:t xml:space="preserve">Nota de Débito emitida pela </w:t>
            </w:r>
            <w:r w:rsidR="00F71A6C" w:rsidRPr="003234C5">
              <w:rPr>
                <w:rFonts w:ascii="Arial" w:hAnsi="Arial" w:cs="Arial"/>
                <w:sz w:val="20"/>
                <w:szCs w:val="20"/>
              </w:rPr>
              <w:t>CEGÁS</w:t>
            </w:r>
          </w:p>
        </w:tc>
        <w:tc>
          <w:tcPr>
            <w:tcW w:w="2410" w:type="dxa"/>
            <w:shd w:val="clear" w:color="auto" w:fill="FFFFFF" w:themeFill="background1"/>
          </w:tcPr>
          <w:p w14:paraId="4D406EA3" w14:textId="77777777" w:rsidR="00D55B47" w:rsidRPr="003234C5" w:rsidRDefault="00D55B47" w:rsidP="00D55B47">
            <w:pPr>
              <w:spacing w:after="0"/>
              <w:rPr>
                <w:rFonts w:ascii="Arial" w:hAnsi="Arial" w:cs="Arial"/>
                <w:sz w:val="20"/>
                <w:szCs w:val="20"/>
              </w:rPr>
            </w:pPr>
            <w:r w:rsidRPr="003234C5">
              <w:rPr>
                <w:rFonts w:ascii="Arial" w:hAnsi="Arial" w:cs="Arial"/>
                <w:sz w:val="20"/>
                <w:szCs w:val="20"/>
              </w:rPr>
              <w:t>ND 2370</w:t>
            </w:r>
          </w:p>
        </w:tc>
        <w:tc>
          <w:tcPr>
            <w:tcW w:w="1842" w:type="dxa"/>
            <w:shd w:val="clear" w:color="auto" w:fill="FFFFFF" w:themeFill="background1"/>
            <w:vAlign w:val="bottom"/>
          </w:tcPr>
          <w:p w14:paraId="3BE1417A" w14:textId="4C62CF3F" w:rsidR="00D55B47" w:rsidRPr="003234C5" w:rsidRDefault="00D55B47" w:rsidP="00D55B47">
            <w:pPr>
              <w:spacing w:after="0"/>
              <w:jc w:val="right"/>
              <w:rPr>
                <w:rFonts w:ascii="Arial" w:hAnsi="Arial" w:cs="Arial"/>
                <w:sz w:val="20"/>
                <w:szCs w:val="20"/>
              </w:rPr>
            </w:pPr>
            <w:r w:rsidRPr="003234C5">
              <w:rPr>
                <w:rFonts w:ascii="Arial" w:hAnsi="Arial" w:cs="Arial"/>
                <w:color w:val="000000"/>
                <w:sz w:val="20"/>
              </w:rPr>
              <w:t>47.962</w:t>
            </w:r>
          </w:p>
        </w:tc>
      </w:tr>
      <w:tr w:rsidR="00D55B47" w:rsidRPr="003234C5" w14:paraId="72CD2E71" w14:textId="77777777" w:rsidTr="00D55B47">
        <w:trPr>
          <w:trHeight w:val="227"/>
        </w:trPr>
        <w:tc>
          <w:tcPr>
            <w:tcW w:w="4707" w:type="dxa"/>
            <w:shd w:val="clear" w:color="auto" w:fill="FFFFFF" w:themeFill="background1"/>
          </w:tcPr>
          <w:p w14:paraId="616D3A6A" w14:textId="1F36804D" w:rsidR="00D55B47" w:rsidRPr="003234C5" w:rsidRDefault="00D55B47" w:rsidP="00D55B47">
            <w:pPr>
              <w:spacing w:after="0"/>
              <w:jc w:val="both"/>
              <w:rPr>
                <w:rFonts w:ascii="Arial" w:hAnsi="Arial" w:cs="Arial"/>
                <w:sz w:val="20"/>
                <w:szCs w:val="20"/>
              </w:rPr>
            </w:pPr>
            <w:r w:rsidRPr="003234C5">
              <w:rPr>
                <w:rFonts w:ascii="Arial" w:hAnsi="Arial" w:cs="Arial"/>
                <w:sz w:val="20"/>
                <w:szCs w:val="20"/>
              </w:rPr>
              <w:t xml:space="preserve">Nota de Débito emitida pela </w:t>
            </w:r>
            <w:r w:rsidR="00F71A6C" w:rsidRPr="003234C5">
              <w:rPr>
                <w:rFonts w:ascii="Arial" w:hAnsi="Arial" w:cs="Arial"/>
                <w:sz w:val="20"/>
                <w:szCs w:val="20"/>
              </w:rPr>
              <w:t>CEGÁS</w:t>
            </w:r>
          </w:p>
        </w:tc>
        <w:tc>
          <w:tcPr>
            <w:tcW w:w="2410" w:type="dxa"/>
            <w:shd w:val="clear" w:color="auto" w:fill="FFFFFF" w:themeFill="background1"/>
          </w:tcPr>
          <w:p w14:paraId="3666D8D6" w14:textId="77777777" w:rsidR="00D55B47" w:rsidRPr="003234C5" w:rsidRDefault="00D55B47" w:rsidP="00D55B47">
            <w:pPr>
              <w:spacing w:after="0"/>
              <w:rPr>
                <w:rFonts w:ascii="Arial" w:hAnsi="Arial" w:cs="Arial"/>
                <w:sz w:val="20"/>
                <w:szCs w:val="20"/>
              </w:rPr>
            </w:pPr>
            <w:r w:rsidRPr="003234C5">
              <w:rPr>
                <w:rFonts w:ascii="Arial" w:hAnsi="Arial" w:cs="Arial"/>
                <w:sz w:val="20"/>
                <w:szCs w:val="20"/>
              </w:rPr>
              <w:t>ND 2374</w:t>
            </w:r>
          </w:p>
        </w:tc>
        <w:tc>
          <w:tcPr>
            <w:tcW w:w="1842" w:type="dxa"/>
            <w:shd w:val="clear" w:color="auto" w:fill="FFFFFF" w:themeFill="background1"/>
            <w:vAlign w:val="bottom"/>
          </w:tcPr>
          <w:p w14:paraId="22996BE6" w14:textId="1F65BD0B" w:rsidR="00D55B47" w:rsidRPr="003234C5" w:rsidRDefault="00D55B47" w:rsidP="00D55B47">
            <w:pPr>
              <w:spacing w:after="0"/>
              <w:jc w:val="right"/>
              <w:rPr>
                <w:rFonts w:ascii="Arial" w:hAnsi="Arial" w:cs="Arial"/>
                <w:sz w:val="20"/>
                <w:szCs w:val="20"/>
              </w:rPr>
            </w:pPr>
            <w:r w:rsidRPr="003234C5">
              <w:rPr>
                <w:rFonts w:ascii="Arial" w:hAnsi="Arial" w:cs="Arial"/>
                <w:color w:val="000000"/>
                <w:sz w:val="20"/>
              </w:rPr>
              <w:t>20.852</w:t>
            </w:r>
          </w:p>
        </w:tc>
      </w:tr>
      <w:tr w:rsidR="00D55B47" w:rsidRPr="003234C5" w14:paraId="731B948F" w14:textId="77777777" w:rsidTr="00D55B47">
        <w:trPr>
          <w:trHeight w:val="227"/>
        </w:trPr>
        <w:tc>
          <w:tcPr>
            <w:tcW w:w="4707" w:type="dxa"/>
            <w:shd w:val="clear" w:color="auto" w:fill="FFFFFF" w:themeFill="background1"/>
          </w:tcPr>
          <w:p w14:paraId="447BA7BA" w14:textId="4D2D34F4" w:rsidR="00D55B47" w:rsidRPr="003234C5" w:rsidRDefault="00D55B47" w:rsidP="00D55B47">
            <w:pPr>
              <w:spacing w:after="0"/>
              <w:jc w:val="both"/>
              <w:rPr>
                <w:rFonts w:ascii="Arial" w:hAnsi="Arial" w:cs="Arial"/>
                <w:color w:val="000000" w:themeColor="text1"/>
                <w:sz w:val="20"/>
                <w:szCs w:val="20"/>
              </w:rPr>
            </w:pPr>
            <w:r w:rsidRPr="003234C5">
              <w:rPr>
                <w:rFonts w:ascii="Arial" w:hAnsi="Arial" w:cs="Arial"/>
                <w:sz w:val="20"/>
                <w:szCs w:val="20"/>
              </w:rPr>
              <w:t xml:space="preserve">Nota de Débito emitida pela </w:t>
            </w:r>
            <w:r w:rsidR="00F71A6C" w:rsidRPr="003234C5">
              <w:rPr>
                <w:rFonts w:ascii="Arial" w:hAnsi="Arial" w:cs="Arial"/>
                <w:sz w:val="20"/>
                <w:szCs w:val="20"/>
              </w:rPr>
              <w:t>CEGÁS</w:t>
            </w:r>
          </w:p>
        </w:tc>
        <w:tc>
          <w:tcPr>
            <w:tcW w:w="2410" w:type="dxa"/>
            <w:shd w:val="clear" w:color="auto" w:fill="FFFFFF" w:themeFill="background1"/>
          </w:tcPr>
          <w:p w14:paraId="56DE5C04" w14:textId="77777777" w:rsidR="00D55B47" w:rsidRPr="003234C5" w:rsidRDefault="00D55B47" w:rsidP="00D55B47">
            <w:pPr>
              <w:spacing w:after="0"/>
              <w:rPr>
                <w:rFonts w:ascii="Arial" w:hAnsi="Arial" w:cs="Arial"/>
                <w:color w:val="000000" w:themeColor="text1"/>
                <w:sz w:val="20"/>
                <w:szCs w:val="20"/>
              </w:rPr>
            </w:pPr>
            <w:r w:rsidRPr="003234C5">
              <w:rPr>
                <w:rFonts w:ascii="Arial" w:hAnsi="Arial" w:cs="Arial"/>
                <w:sz w:val="20"/>
                <w:szCs w:val="20"/>
              </w:rPr>
              <w:t>ND 2382</w:t>
            </w:r>
          </w:p>
        </w:tc>
        <w:tc>
          <w:tcPr>
            <w:tcW w:w="1842" w:type="dxa"/>
            <w:shd w:val="clear" w:color="auto" w:fill="FFFFFF" w:themeFill="background1"/>
            <w:vAlign w:val="bottom"/>
          </w:tcPr>
          <w:p w14:paraId="2B7CF04D" w14:textId="5A4E4717" w:rsidR="00D55B47" w:rsidRPr="003234C5" w:rsidRDefault="00D55B47" w:rsidP="00D55B47">
            <w:pPr>
              <w:spacing w:after="0"/>
              <w:jc w:val="right"/>
              <w:rPr>
                <w:rFonts w:ascii="Arial" w:hAnsi="Arial" w:cs="Arial"/>
                <w:color w:val="000000" w:themeColor="text1"/>
                <w:sz w:val="20"/>
                <w:szCs w:val="20"/>
              </w:rPr>
            </w:pPr>
            <w:r w:rsidRPr="003234C5">
              <w:rPr>
                <w:rFonts w:ascii="Arial" w:hAnsi="Arial" w:cs="Arial"/>
                <w:color w:val="000000"/>
                <w:sz w:val="20"/>
              </w:rPr>
              <w:t>2.386</w:t>
            </w:r>
          </w:p>
        </w:tc>
      </w:tr>
      <w:tr w:rsidR="00D55B47" w:rsidRPr="003234C5" w14:paraId="56991533" w14:textId="77777777" w:rsidTr="00D55B47">
        <w:trPr>
          <w:trHeight w:val="227"/>
        </w:trPr>
        <w:tc>
          <w:tcPr>
            <w:tcW w:w="4707" w:type="dxa"/>
            <w:shd w:val="clear" w:color="auto" w:fill="FFFFFF" w:themeFill="background1"/>
          </w:tcPr>
          <w:p w14:paraId="041F22F2" w14:textId="16A4EB5E" w:rsidR="00D55B47" w:rsidRPr="003234C5" w:rsidRDefault="00D55B47" w:rsidP="00D55B47">
            <w:pPr>
              <w:spacing w:after="0"/>
              <w:jc w:val="both"/>
              <w:rPr>
                <w:rFonts w:ascii="Arial" w:hAnsi="Arial" w:cs="Arial"/>
                <w:color w:val="000000" w:themeColor="text1"/>
                <w:sz w:val="20"/>
                <w:szCs w:val="20"/>
              </w:rPr>
            </w:pPr>
            <w:r w:rsidRPr="003234C5">
              <w:rPr>
                <w:rFonts w:ascii="Arial" w:hAnsi="Arial" w:cs="Arial"/>
                <w:sz w:val="20"/>
                <w:szCs w:val="20"/>
              </w:rPr>
              <w:t xml:space="preserve">Nota de Débito emitida pela </w:t>
            </w:r>
            <w:r w:rsidR="00F71A6C" w:rsidRPr="003234C5">
              <w:rPr>
                <w:rFonts w:ascii="Arial" w:hAnsi="Arial" w:cs="Arial"/>
                <w:sz w:val="20"/>
                <w:szCs w:val="20"/>
              </w:rPr>
              <w:t>CEGÁS</w:t>
            </w:r>
          </w:p>
        </w:tc>
        <w:tc>
          <w:tcPr>
            <w:tcW w:w="2410" w:type="dxa"/>
            <w:shd w:val="clear" w:color="auto" w:fill="FFFFFF" w:themeFill="background1"/>
          </w:tcPr>
          <w:p w14:paraId="398C4E18" w14:textId="77777777" w:rsidR="00D55B47" w:rsidRPr="003234C5" w:rsidRDefault="00D55B47" w:rsidP="00D55B47">
            <w:pPr>
              <w:spacing w:after="0"/>
              <w:rPr>
                <w:rFonts w:ascii="Arial" w:hAnsi="Arial" w:cs="Arial"/>
                <w:color w:val="000000" w:themeColor="text1"/>
                <w:sz w:val="20"/>
                <w:szCs w:val="20"/>
              </w:rPr>
            </w:pPr>
            <w:r w:rsidRPr="003234C5">
              <w:rPr>
                <w:rFonts w:ascii="Arial" w:hAnsi="Arial" w:cs="Arial"/>
                <w:sz w:val="20"/>
                <w:szCs w:val="20"/>
              </w:rPr>
              <w:t>ND 2371</w:t>
            </w:r>
          </w:p>
        </w:tc>
        <w:tc>
          <w:tcPr>
            <w:tcW w:w="1842" w:type="dxa"/>
            <w:shd w:val="clear" w:color="auto" w:fill="FFFFFF" w:themeFill="background1"/>
            <w:vAlign w:val="bottom"/>
          </w:tcPr>
          <w:p w14:paraId="569CC0B0" w14:textId="06062C64" w:rsidR="00D55B47" w:rsidRPr="003234C5" w:rsidRDefault="00D55B47" w:rsidP="00D55B47">
            <w:pPr>
              <w:spacing w:after="0"/>
              <w:jc w:val="right"/>
              <w:rPr>
                <w:rFonts w:ascii="Arial" w:hAnsi="Arial" w:cs="Arial"/>
                <w:color w:val="000000" w:themeColor="text1"/>
                <w:sz w:val="20"/>
                <w:szCs w:val="20"/>
              </w:rPr>
            </w:pPr>
            <w:r w:rsidRPr="003234C5">
              <w:rPr>
                <w:rFonts w:ascii="Arial" w:hAnsi="Arial" w:cs="Arial"/>
                <w:color w:val="000000"/>
                <w:sz w:val="20"/>
              </w:rPr>
              <w:t>1.110</w:t>
            </w:r>
          </w:p>
        </w:tc>
      </w:tr>
      <w:tr w:rsidR="00D55B47" w:rsidRPr="003234C5" w14:paraId="1E0B3438" w14:textId="77777777" w:rsidTr="00D55B47">
        <w:trPr>
          <w:trHeight w:val="227"/>
        </w:trPr>
        <w:tc>
          <w:tcPr>
            <w:tcW w:w="4707" w:type="dxa"/>
            <w:shd w:val="clear" w:color="auto" w:fill="FFFFFF" w:themeFill="background1"/>
          </w:tcPr>
          <w:p w14:paraId="49CF29A2" w14:textId="4ADF7D3D" w:rsidR="00D55B47" w:rsidRPr="003234C5" w:rsidRDefault="00D55B47" w:rsidP="00D55B47">
            <w:pPr>
              <w:spacing w:after="0"/>
              <w:jc w:val="both"/>
              <w:rPr>
                <w:rFonts w:ascii="Arial" w:hAnsi="Arial" w:cs="Arial"/>
                <w:color w:val="000000" w:themeColor="text1"/>
                <w:sz w:val="20"/>
                <w:szCs w:val="20"/>
              </w:rPr>
            </w:pPr>
            <w:r w:rsidRPr="003234C5">
              <w:rPr>
                <w:rFonts w:ascii="Arial" w:hAnsi="Arial" w:cs="Arial"/>
                <w:sz w:val="20"/>
                <w:szCs w:val="20"/>
              </w:rPr>
              <w:t xml:space="preserve">Nota de Débito emitida pela </w:t>
            </w:r>
            <w:r w:rsidR="00F71A6C" w:rsidRPr="003234C5">
              <w:rPr>
                <w:rFonts w:ascii="Arial" w:hAnsi="Arial" w:cs="Arial"/>
                <w:sz w:val="20"/>
                <w:szCs w:val="20"/>
              </w:rPr>
              <w:t>CEGÁS</w:t>
            </w:r>
          </w:p>
        </w:tc>
        <w:tc>
          <w:tcPr>
            <w:tcW w:w="2410" w:type="dxa"/>
            <w:shd w:val="clear" w:color="auto" w:fill="FFFFFF" w:themeFill="background1"/>
          </w:tcPr>
          <w:p w14:paraId="2B7CF91B" w14:textId="77777777" w:rsidR="00D55B47" w:rsidRPr="003234C5" w:rsidRDefault="00D55B47" w:rsidP="00D55B47">
            <w:pPr>
              <w:spacing w:after="0"/>
              <w:rPr>
                <w:rFonts w:ascii="Arial" w:hAnsi="Arial" w:cs="Arial"/>
                <w:color w:val="000000" w:themeColor="text1"/>
                <w:sz w:val="20"/>
                <w:szCs w:val="20"/>
              </w:rPr>
            </w:pPr>
            <w:r w:rsidRPr="003234C5">
              <w:rPr>
                <w:rFonts w:ascii="Arial" w:hAnsi="Arial" w:cs="Arial"/>
                <w:sz w:val="20"/>
                <w:szCs w:val="20"/>
              </w:rPr>
              <w:t>ND 2375</w:t>
            </w:r>
          </w:p>
        </w:tc>
        <w:tc>
          <w:tcPr>
            <w:tcW w:w="1842" w:type="dxa"/>
            <w:shd w:val="clear" w:color="auto" w:fill="FFFFFF" w:themeFill="background1"/>
            <w:vAlign w:val="bottom"/>
          </w:tcPr>
          <w:p w14:paraId="746D3EB2" w14:textId="2F20FD25" w:rsidR="00D55B47" w:rsidRPr="003234C5" w:rsidRDefault="00D55B47" w:rsidP="00D55B47">
            <w:pPr>
              <w:spacing w:after="0"/>
              <w:jc w:val="right"/>
              <w:rPr>
                <w:rFonts w:ascii="Arial" w:hAnsi="Arial" w:cs="Arial"/>
                <w:color w:val="000000" w:themeColor="text1"/>
                <w:sz w:val="20"/>
                <w:szCs w:val="20"/>
              </w:rPr>
            </w:pPr>
            <w:r w:rsidRPr="003234C5">
              <w:rPr>
                <w:rFonts w:ascii="Arial" w:hAnsi="Arial" w:cs="Arial"/>
                <w:color w:val="000000"/>
                <w:sz w:val="20"/>
              </w:rPr>
              <w:t>407</w:t>
            </w:r>
          </w:p>
        </w:tc>
      </w:tr>
      <w:tr w:rsidR="00D55B47" w:rsidRPr="003234C5" w14:paraId="3E4B9CC9" w14:textId="77777777" w:rsidTr="00D55B47">
        <w:trPr>
          <w:trHeight w:val="227"/>
        </w:trPr>
        <w:tc>
          <w:tcPr>
            <w:tcW w:w="4707" w:type="dxa"/>
            <w:shd w:val="clear" w:color="auto" w:fill="FFFFFF" w:themeFill="background1"/>
          </w:tcPr>
          <w:p w14:paraId="2EDEFE12" w14:textId="408627EC" w:rsidR="00D55B47" w:rsidRPr="003234C5" w:rsidRDefault="00D55B47" w:rsidP="00D55B47">
            <w:pPr>
              <w:spacing w:after="0"/>
              <w:jc w:val="both"/>
              <w:rPr>
                <w:rFonts w:ascii="Arial" w:hAnsi="Arial" w:cs="Arial"/>
                <w:color w:val="000000" w:themeColor="text1"/>
                <w:sz w:val="20"/>
                <w:szCs w:val="20"/>
              </w:rPr>
            </w:pPr>
            <w:r w:rsidRPr="003234C5">
              <w:rPr>
                <w:rFonts w:ascii="Arial" w:hAnsi="Arial" w:cs="Arial"/>
                <w:sz w:val="20"/>
                <w:szCs w:val="20"/>
              </w:rPr>
              <w:t xml:space="preserve">Nota de Débito emitida pela </w:t>
            </w:r>
            <w:r w:rsidR="00F71A6C" w:rsidRPr="003234C5">
              <w:rPr>
                <w:rFonts w:ascii="Arial" w:hAnsi="Arial" w:cs="Arial"/>
                <w:sz w:val="20"/>
                <w:szCs w:val="20"/>
              </w:rPr>
              <w:t>CEGÁS</w:t>
            </w:r>
          </w:p>
        </w:tc>
        <w:tc>
          <w:tcPr>
            <w:tcW w:w="2410" w:type="dxa"/>
            <w:shd w:val="clear" w:color="auto" w:fill="FFFFFF" w:themeFill="background1"/>
          </w:tcPr>
          <w:p w14:paraId="3BC5B515" w14:textId="77777777" w:rsidR="00D55B47" w:rsidRPr="003234C5" w:rsidRDefault="00D55B47" w:rsidP="00D55B47">
            <w:pPr>
              <w:spacing w:after="0"/>
              <w:rPr>
                <w:rFonts w:ascii="Arial" w:hAnsi="Arial" w:cs="Arial"/>
                <w:color w:val="000000" w:themeColor="text1"/>
                <w:sz w:val="20"/>
                <w:szCs w:val="20"/>
              </w:rPr>
            </w:pPr>
            <w:r w:rsidRPr="003234C5">
              <w:rPr>
                <w:rFonts w:ascii="Arial" w:hAnsi="Arial" w:cs="Arial"/>
                <w:sz w:val="20"/>
                <w:szCs w:val="20"/>
              </w:rPr>
              <w:t>ND 2383</w:t>
            </w:r>
          </w:p>
        </w:tc>
        <w:tc>
          <w:tcPr>
            <w:tcW w:w="1842" w:type="dxa"/>
            <w:shd w:val="clear" w:color="auto" w:fill="FFFFFF" w:themeFill="background1"/>
            <w:vAlign w:val="bottom"/>
          </w:tcPr>
          <w:p w14:paraId="2AC0B77A" w14:textId="6A13186B" w:rsidR="00D55B47" w:rsidRPr="003234C5" w:rsidRDefault="00D55B47" w:rsidP="00D55B47">
            <w:pPr>
              <w:spacing w:after="0"/>
              <w:jc w:val="right"/>
              <w:rPr>
                <w:rFonts w:ascii="Arial" w:hAnsi="Arial" w:cs="Arial"/>
                <w:color w:val="000000" w:themeColor="text1"/>
                <w:sz w:val="20"/>
                <w:szCs w:val="20"/>
              </w:rPr>
            </w:pPr>
            <w:r w:rsidRPr="003234C5">
              <w:rPr>
                <w:rFonts w:ascii="Arial" w:hAnsi="Arial" w:cs="Arial"/>
                <w:color w:val="000000"/>
                <w:sz w:val="20"/>
              </w:rPr>
              <w:t>157</w:t>
            </w:r>
          </w:p>
        </w:tc>
      </w:tr>
      <w:tr w:rsidR="00D55B47" w:rsidRPr="003234C5" w14:paraId="58C6E766" w14:textId="77777777" w:rsidTr="00D55B47">
        <w:trPr>
          <w:trHeight w:val="227"/>
        </w:trPr>
        <w:tc>
          <w:tcPr>
            <w:tcW w:w="4707" w:type="dxa"/>
            <w:shd w:val="clear" w:color="auto" w:fill="C0C0C0"/>
            <w:vAlign w:val="center"/>
          </w:tcPr>
          <w:p w14:paraId="75CAA036" w14:textId="77777777" w:rsidR="00D55B47" w:rsidRPr="003234C5" w:rsidRDefault="00D55B47" w:rsidP="00D55B47">
            <w:pPr>
              <w:spacing w:after="0"/>
              <w:jc w:val="both"/>
              <w:rPr>
                <w:rFonts w:ascii="Arial" w:hAnsi="Arial" w:cs="Arial"/>
                <w:sz w:val="20"/>
                <w:szCs w:val="20"/>
              </w:rPr>
            </w:pPr>
            <w:r w:rsidRPr="003234C5">
              <w:rPr>
                <w:rFonts w:ascii="Arial" w:hAnsi="Arial" w:cs="Arial"/>
                <w:b/>
                <w:sz w:val="20"/>
                <w:szCs w:val="20"/>
              </w:rPr>
              <w:t>TOTAL</w:t>
            </w:r>
          </w:p>
        </w:tc>
        <w:tc>
          <w:tcPr>
            <w:tcW w:w="2410" w:type="dxa"/>
            <w:shd w:val="clear" w:color="auto" w:fill="C0C0C0"/>
          </w:tcPr>
          <w:p w14:paraId="7971259C" w14:textId="77777777" w:rsidR="00D55B47" w:rsidRPr="003234C5" w:rsidRDefault="00D55B47" w:rsidP="00D55B47">
            <w:pPr>
              <w:spacing w:after="0"/>
              <w:jc w:val="right"/>
              <w:rPr>
                <w:rFonts w:ascii="Arial" w:hAnsi="Arial" w:cs="Arial"/>
                <w:b/>
                <w:sz w:val="20"/>
                <w:szCs w:val="20"/>
              </w:rPr>
            </w:pPr>
          </w:p>
        </w:tc>
        <w:tc>
          <w:tcPr>
            <w:tcW w:w="1842" w:type="dxa"/>
            <w:shd w:val="clear" w:color="auto" w:fill="C0C0C0"/>
          </w:tcPr>
          <w:p w14:paraId="04BCC464" w14:textId="3DE5FC95" w:rsidR="00D55B47" w:rsidRPr="003234C5" w:rsidRDefault="00D55B47" w:rsidP="00D55B47">
            <w:pPr>
              <w:spacing w:after="0"/>
              <w:jc w:val="right"/>
              <w:rPr>
                <w:rFonts w:ascii="Arial" w:hAnsi="Arial" w:cs="Arial"/>
                <w:b/>
                <w:sz w:val="20"/>
                <w:szCs w:val="20"/>
              </w:rPr>
            </w:pPr>
            <w:r w:rsidRPr="003234C5">
              <w:rPr>
                <w:rFonts w:ascii="Arial" w:hAnsi="Arial" w:cs="Arial"/>
                <w:b/>
              </w:rPr>
              <w:t>72.874</w:t>
            </w:r>
          </w:p>
        </w:tc>
      </w:tr>
    </w:tbl>
    <w:p w14:paraId="7D21A85A" w14:textId="30D4578B" w:rsidR="00D55B47" w:rsidRPr="003234C5" w:rsidRDefault="00D55B47" w:rsidP="003A2089">
      <w:pPr>
        <w:autoSpaceDE w:val="0"/>
        <w:autoSpaceDN w:val="0"/>
        <w:adjustRightInd w:val="0"/>
        <w:spacing w:before="240"/>
        <w:jc w:val="both"/>
        <w:rPr>
          <w:rFonts w:ascii="Arial" w:hAnsi="Arial" w:cs="Arial"/>
        </w:rPr>
      </w:pPr>
      <w:r w:rsidRPr="003234C5">
        <w:rPr>
          <w:rFonts w:ascii="Arial" w:hAnsi="Arial" w:cs="Arial"/>
          <w:color w:val="000000" w:themeColor="text1"/>
        </w:rPr>
        <w:t>A Petrobras reconheceu a devida aplicação da penalidade apenas para as notas de débito ND 2374, 2375, 2382, e 2383, que totalizaram R$ 23.801. Para a notas de débito ND 2370 e ND 2371 a Petrobras enviou carta à Companhia discordando dos valores cobrados e alegando a ocorrência de força maior, com base nos itens 9.8.2 do contrato supracitado.</w:t>
      </w:r>
      <w:r w:rsidR="003A2089">
        <w:rPr>
          <w:rFonts w:ascii="Arial" w:hAnsi="Arial" w:cs="Arial"/>
          <w:color w:val="000000" w:themeColor="text1"/>
        </w:rPr>
        <w:t xml:space="preserve"> </w:t>
      </w:r>
      <w:r w:rsidRPr="003234C5">
        <w:rPr>
          <w:rFonts w:ascii="Arial" w:hAnsi="Arial" w:cs="Arial"/>
        </w:rPr>
        <w:t xml:space="preserve">As diferenças </w:t>
      </w:r>
      <w:r w:rsidRPr="003234C5">
        <w:rPr>
          <w:rFonts w:ascii="Arial" w:hAnsi="Arial" w:cs="Arial"/>
          <w:color w:val="000000" w:themeColor="text1"/>
        </w:rPr>
        <w:t>entre</w:t>
      </w:r>
      <w:r w:rsidRPr="003234C5">
        <w:rPr>
          <w:rFonts w:ascii="Arial" w:hAnsi="Arial" w:cs="Arial"/>
        </w:rPr>
        <w:t xml:space="preserve"> os valores cobrados pela CGTF – Central Geradora Termelétrica Fortaleza e os valores apurados e não reconhecidos pela Petrobras estão sendo objeto de julgamento em tribunal arbitral, conforme previsão contratual, não existindo uma solução até o encerramento do exercício de 31 de dezembro de 201</w:t>
      </w:r>
      <w:r w:rsidR="00BF6817">
        <w:rPr>
          <w:rFonts w:ascii="Arial" w:hAnsi="Arial" w:cs="Arial"/>
        </w:rPr>
        <w:t>9</w:t>
      </w:r>
      <w:r w:rsidRPr="003234C5">
        <w:rPr>
          <w:rFonts w:ascii="Arial" w:hAnsi="Arial" w:cs="Arial"/>
        </w:rPr>
        <w:t xml:space="preserve">. </w:t>
      </w:r>
    </w:p>
    <w:p w14:paraId="0F448D98" w14:textId="77777777" w:rsidR="00D55B47" w:rsidRPr="003234C5" w:rsidRDefault="00D55B47" w:rsidP="00D55B47">
      <w:pPr>
        <w:autoSpaceDE w:val="0"/>
        <w:autoSpaceDN w:val="0"/>
        <w:adjustRightInd w:val="0"/>
        <w:jc w:val="both"/>
        <w:rPr>
          <w:rFonts w:ascii="Arial" w:hAnsi="Arial" w:cs="Arial"/>
        </w:rPr>
      </w:pPr>
      <w:r w:rsidRPr="003234C5">
        <w:rPr>
          <w:rFonts w:ascii="Arial" w:hAnsi="Arial" w:cs="Arial"/>
        </w:rPr>
        <w:t>A Companhia entende que não existem riscos e que não sofrerá qualquer prejuízo financeiro após a decisão final, em razão da uniformidade das cláusulas de ambos os contratos com a CGTF e com a Petrobras, no que se refere ao inadimplemento, entretanto reclassificou os valores do contas a receber para o longo prazo até que seja julgada a causa pelo Tribunal Arbitral.</w:t>
      </w:r>
    </w:p>
    <w:p w14:paraId="53F8AE4C" w14:textId="051E69D5" w:rsidR="00D55B47" w:rsidRPr="003234C5" w:rsidRDefault="00D55B47" w:rsidP="00D55B47">
      <w:pPr>
        <w:autoSpaceDE w:val="0"/>
        <w:autoSpaceDN w:val="0"/>
        <w:adjustRightInd w:val="0"/>
        <w:jc w:val="both"/>
        <w:rPr>
          <w:rFonts w:ascii="Arial" w:hAnsi="Arial" w:cs="Arial"/>
        </w:rPr>
      </w:pPr>
      <w:r w:rsidRPr="003234C5">
        <w:rPr>
          <w:rFonts w:ascii="Arial" w:hAnsi="Arial" w:cs="Arial"/>
        </w:rPr>
        <w:t>E</w:t>
      </w:r>
      <w:r w:rsidR="00234059" w:rsidRPr="003234C5">
        <w:rPr>
          <w:rFonts w:ascii="Arial" w:hAnsi="Arial" w:cs="Arial"/>
        </w:rPr>
        <w:t>ntre</w:t>
      </w:r>
      <w:r w:rsidRPr="003234C5">
        <w:rPr>
          <w:rFonts w:ascii="Arial" w:hAnsi="Arial" w:cs="Arial"/>
        </w:rPr>
        <w:t xml:space="preserve"> dezembro de 2017 e janeiro de 2018, a Petrobras efetuou os pagamentos para a Companhia das notas de débito ND 2374, 2375, 2382 e 2383, que reconheceu como devidas, obedecendo as cláusulas contratuais. E em janeiro de 2018, a </w:t>
      </w:r>
      <w:r w:rsidR="00F71A6C" w:rsidRPr="003234C5">
        <w:rPr>
          <w:rFonts w:ascii="Arial" w:hAnsi="Arial" w:cs="Arial"/>
        </w:rPr>
        <w:t>CEGÁS</w:t>
      </w:r>
      <w:r w:rsidRPr="003234C5">
        <w:rPr>
          <w:rFonts w:ascii="Arial" w:hAnsi="Arial" w:cs="Arial"/>
        </w:rPr>
        <w:t xml:space="preserve"> repassou para a CGTF </w:t>
      </w:r>
      <w:r w:rsidRPr="003234C5">
        <w:rPr>
          <w:rFonts w:ascii="Arial" w:hAnsi="Arial" w:cs="Arial"/>
        </w:rPr>
        <w:lastRenderedPageBreak/>
        <w:t>– Central Geradora Termelétrica Fortaleza, líquidos da sua margem de distribuição, os valores de R$ 2.386 referente à nota de débito ND-011-18-R. Dessa forma, em 31 de dezembro de 201</w:t>
      </w:r>
      <w:r w:rsidR="00F43AC4">
        <w:rPr>
          <w:rFonts w:ascii="Arial" w:hAnsi="Arial" w:cs="Arial"/>
        </w:rPr>
        <w:t>9</w:t>
      </w:r>
      <w:r w:rsidRPr="003234C5">
        <w:rPr>
          <w:rFonts w:ascii="Arial" w:hAnsi="Arial" w:cs="Arial"/>
        </w:rPr>
        <w:t>, os saldos a receber da Petrobras e a pagar à CGTF – Central Geradora Termelétrica Fortaleza encontravam-se registrados no ativo e passivo, respectivamente, conforme abaixo:</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2552"/>
        <w:gridCol w:w="1984"/>
      </w:tblGrid>
      <w:tr w:rsidR="00D55B47" w:rsidRPr="003234C5" w14:paraId="60AF0E73" w14:textId="77777777" w:rsidTr="00D55B47">
        <w:trPr>
          <w:trHeight w:val="285"/>
        </w:trPr>
        <w:tc>
          <w:tcPr>
            <w:tcW w:w="442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6438EA7" w14:textId="77777777" w:rsidR="00D55B47" w:rsidRPr="003234C5" w:rsidRDefault="00D55B47" w:rsidP="00D55B47">
            <w:pPr>
              <w:pStyle w:val="PargrafodaLista"/>
              <w:numPr>
                <w:ilvl w:val="0"/>
                <w:numId w:val="33"/>
              </w:numPr>
              <w:autoSpaceDE w:val="0"/>
              <w:autoSpaceDN w:val="0"/>
              <w:adjustRightInd w:val="0"/>
              <w:spacing w:after="0"/>
              <w:ind w:left="346"/>
              <w:jc w:val="both"/>
              <w:rPr>
                <w:rFonts w:ascii="Arial" w:hAnsi="Arial" w:cs="Arial"/>
                <w:b/>
                <w:sz w:val="20"/>
              </w:rPr>
            </w:pPr>
            <w:r w:rsidRPr="003234C5">
              <w:rPr>
                <w:rFonts w:ascii="Arial" w:hAnsi="Arial" w:cs="Arial"/>
                <w:b/>
                <w:sz w:val="20"/>
                <w:szCs w:val="20"/>
              </w:rPr>
              <w:t>ATIVOS – DESCRIÇÃO</w:t>
            </w:r>
            <w:r w:rsidRPr="003234C5">
              <w:rPr>
                <w:rFonts w:ascii="Arial" w:hAnsi="Arial" w:cs="Arial"/>
                <w:b/>
                <w:sz w:val="20"/>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8C44580" w14:textId="77777777" w:rsidR="00D55B47" w:rsidRPr="003234C5" w:rsidRDefault="00D55B47" w:rsidP="00D55B47">
            <w:pPr>
              <w:autoSpaceDE w:val="0"/>
              <w:autoSpaceDN w:val="0"/>
              <w:adjustRightInd w:val="0"/>
              <w:spacing w:after="0"/>
              <w:jc w:val="center"/>
              <w:rPr>
                <w:rFonts w:ascii="Arial" w:hAnsi="Arial" w:cs="Arial"/>
                <w:b/>
                <w:sz w:val="20"/>
              </w:rPr>
            </w:pPr>
            <w:r w:rsidRPr="003234C5">
              <w:rPr>
                <w:rFonts w:ascii="Arial" w:hAnsi="Arial" w:cs="Arial"/>
                <w:b/>
                <w:sz w:val="20"/>
              </w:rPr>
              <w:t>Nº NOTA DE DÉBITO</w:t>
            </w:r>
          </w:p>
        </w:tc>
        <w:tc>
          <w:tcPr>
            <w:tcW w:w="198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CAB3F7A" w14:textId="3A51DDD0" w:rsidR="00D55B47" w:rsidRPr="003234C5" w:rsidRDefault="00D55B47" w:rsidP="00D55B47">
            <w:pPr>
              <w:autoSpaceDE w:val="0"/>
              <w:autoSpaceDN w:val="0"/>
              <w:adjustRightInd w:val="0"/>
              <w:spacing w:after="0"/>
              <w:jc w:val="center"/>
              <w:rPr>
                <w:rFonts w:ascii="Arial" w:hAnsi="Arial" w:cs="Arial"/>
                <w:b/>
                <w:sz w:val="20"/>
              </w:rPr>
            </w:pPr>
            <w:r w:rsidRPr="003234C5">
              <w:rPr>
                <w:rFonts w:ascii="Arial" w:hAnsi="Arial" w:cs="Arial"/>
                <w:b/>
                <w:sz w:val="20"/>
              </w:rPr>
              <w:t>201</w:t>
            </w:r>
            <w:r w:rsidR="00BF6817">
              <w:rPr>
                <w:rFonts w:ascii="Arial" w:hAnsi="Arial" w:cs="Arial"/>
                <w:b/>
                <w:sz w:val="20"/>
              </w:rPr>
              <w:t>9</w:t>
            </w:r>
          </w:p>
        </w:tc>
      </w:tr>
      <w:tr w:rsidR="00D55B47" w:rsidRPr="003234C5" w14:paraId="41D355ED" w14:textId="77777777" w:rsidTr="00D55B47">
        <w:trPr>
          <w:trHeight w:val="227"/>
        </w:trPr>
        <w:tc>
          <w:tcPr>
            <w:tcW w:w="4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CA3788" w14:textId="7A34A329" w:rsidR="00D55B47" w:rsidRPr="003234C5" w:rsidRDefault="00D55B47" w:rsidP="00D55B47">
            <w:pPr>
              <w:spacing w:after="0"/>
              <w:jc w:val="both"/>
              <w:rPr>
                <w:rFonts w:ascii="Arial" w:hAnsi="Arial" w:cs="Arial"/>
                <w:sz w:val="20"/>
                <w:szCs w:val="20"/>
              </w:rPr>
            </w:pPr>
            <w:bookmarkStart w:id="8" w:name="_Hlk506315089"/>
            <w:r w:rsidRPr="003234C5">
              <w:rPr>
                <w:rFonts w:ascii="Arial" w:hAnsi="Arial" w:cs="Arial"/>
                <w:sz w:val="20"/>
                <w:szCs w:val="20"/>
              </w:rPr>
              <w:t xml:space="preserve">Nota de Débito emitida pela </w:t>
            </w:r>
            <w:r w:rsidR="00F71A6C" w:rsidRPr="003234C5">
              <w:rPr>
                <w:rFonts w:ascii="Arial" w:hAnsi="Arial" w:cs="Arial"/>
                <w:sz w:val="20"/>
                <w:szCs w:val="20"/>
              </w:rPr>
              <w:t>CEGÁS</w:t>
            </w:r>
            <w:r w:rsidRPr="003234C5">
              <w:rPr>
                <w:rFonts w:ascii="Arial" w:hAnsi="Arial" w:cs="Arial"/>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C12983" w14:textId="77777777" w:rsidR="00D55B47" w:rsidRPr="003234C5" w:rsidRDefault="00D55B47" w:rsidP="00D55B47">
            <w:pPr>
              <w:spacing w:after="0"/>
              <w:jc w:val="both"/>
              <w:rPr>
                <w:rFonts w:ascii="Arial" w:hAnsi="Arial" w:cs="Arial"/>
                <w:sz w:val="20"/>
                <w:szCs w:val="20"/>
              </w:rPr>
            </w:pPr>
            <w:r w:rsidRPr="003234C5">
              <w:rPr>
                <w:rFonts w:ascii="Arial" w:hAnsi="Arial" w:cs="Arial"/>
                <w:sz w:val="20"/>
                <w:szCs w:val="20"/>
              </w:rPr>
              <w:t>ND 2370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62368B" w14:textId="2CA78EB0" w:rsidR="00D55B47" w:rsidRPr="003234C5" w:rsidRDefault="00D55B47" w:rsidP="00D55B47">
            <w:pPr>
              <w:spacing w:after="0"/>
              <w:jc w:val="right"/>
              <w:rPr>
                <w:rFonts w:ascii="Arial" w:hAnsi="Arial" w:cs="Arial"/>
                <w:sz w:val="20"/>
                <w:szCs w:val="20"/>
              </w:rPr>
            </w:pPr>
            <w:bookmarkStart w:id="9" w:name="OLE_LINK1"/>
            <w:bookmarkStart w:id="10" w:name="OLE_LINK2"/>
            <w:bookmarkStart w:id="11" w:name="OLE_LINK3"/>
            <w:r w:rsidRPr="003234C5">
              <w:rPr>
                <w:rFonts w:ascii="Arial" w:hAnsi="Arial" w:cs="Arial"/>
                <w:sz w:val="20"/>
                <w:szCs w:val="20"/>
              </w:rPr>
              <w:t>47.962</w:t>
            </w:r>
            <w:bookmarkEnd w:id="9"/>
            <w:bookmarkEnd w:id="10"/>
            <w:bookmarkEnd w:id="11"/>
          </w:p>
        </w:tc>
      </w:tr>
      <w:tr w:rsidR="00D55B47" w:rsidRPr="003234C5" w14:paraId="77B7EA23" w14:textId="77777777" w:rsidTr="00C93B3A">
        <w:trPr>
          <w:trHeight w:val="227"/>
        </w:trPr>
        <w:tc>
          <w:tcPr>
            <w:tcW w:w="4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94405C" w14:textId="341A093F" w:rsidR="00D55B47" w:rsidRPr="003234C5" w:rsidRDefault="00D55B47" w:rsidP="00D55B47">
            <w:pPr>
              <w:spacing w:after="0"/>
              <w:jc w:val="both"/>
              <w:rPr>
                <w:rFonts w:ascii="Arial" w:hAnsi="Arial" w:cs="Arial"/>
                <w:sz w:val="20"/>
                <w:szCs w:val="20"/>
              </w:rPr>
            </w:pPr>
            <w:bookmarkStart w:id="12" w:name="OLE_LINK97"/>
            <w:r w:rsidRPr="003234C5">
              <w:rPr>
                <w:rFonts w:ascii="Arial" w:hAnsi="Arial" w:cs="Arial"/>
                <w:sz w:val="20"/>
                <w:szCs w:val="20"/>
              </w:rPr>
              <w:t xml:space="preserve">Nota de Débito emitida pela </w:t>
            </w:r>
            <w:r w:rsidR="00F71A6C" w:rsidRPr="003234C5">
              <w:rPr>
                <w:rFonts w:ascii="Arial" w:hAnsi="Arial" w:cs="Arial"/>
                <w:sz w:val="20"/>
                <w:szCs w:val="20"/>
              </w:rPr>
              <w:t>CEGÁS</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975EC67" w14:textId="77777777" w:rsidR="00D55B47" w:rsidRPr="003234C5" w:rsidRDefault="00D55B47" w:rsidP="00D55B47">
            <w:pPr>
              <w:spacing w:after="0"/>
              <w:jc w:val="both"/>
              <w:rPr>
                <w:rFonts w:ascii="Arial" w:hAnsi="Arial" w:cs="Arial"/>
                <w:sz w:val="20"/>
                <w:szCs w:val="20"/>
              </w:rPr>
            </w:pPr>
            <w:r w:rsidRPr="003234C5">
              <w:rPr>
                <w:rFonts w:ascii="Arial" w:hAnsi="Arial" w:cs="Arial"/>
                <w:sz w:val="20"/>
                <w:szCs w:val="20"/>
              </w:rPr>
              <w:t>ND 2371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FB033C" w14:textId="02338AA9" w:rsidR="00D55B47" w:rsidRPr="003234C5" w:rsidRDefault="00D55B47" w:rsidP="00D55B47">
            <w:pPr>
              <w:spacing w:after="0"/>
              <w:jc w:val="right"/>
              <w:rPr>
                <w:rFonts w:ascii="Arial" w:hAnsi="Arial" w:cs="Arial"/>
                <w:sz w:val="20"/>
                <w:szCs w:val="20"/>
              </w:rPr>
            </w:pPr>
            <w:bookmarkStart w:id="13" w:name="OLE_LINK14"/>
            <w:bookmarkStart w:id="14" w:name="OLE_LINK15"/>
            <w:r w:rsidRPr="003234C5">
              <w:rPr>
                <w:rFonts w:ascii="Arial" w:hAnsi="Arial" w:cs="Arial"/>
                <w:sz w:val="20"/>
                <w:szCs w:val="20"/>
              </w:rPr>
              <w:t>1.110</w:t>
            </w:r>
            <w:bookmarkEnd w:id="13"/>
            <w:bookmarkEnd w:id="14"/>
          </w:p>
        </w:tc>
      </w:tr>
      <w:bookmarkEnd w:id="8"/>
      <w:bookmarkEnd w:id="12"/>
      <w:tr w:rsidR="00D55B47" w:rsidRPr="003234C5" w14:paraId="6DB0305B" w14:textId="77777777" w:rsidTr="00C93B3A">
        <w:trPr>
          <w:trHeight w:val="229"/>
        </w:trPr>
        <w:tc>
          <w:tcPr>
            <w:tcW w:w="6975"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659E3CA5" w14:textId="77777777" w:rsidR="00D55B47" w:rsidRPr="003234C5" w:rsidRDefault="00D55B47" w:rsidP="00D55B47">
            <w:pPr>
              <w:autoSpaceDE w:val="0"/>
              <w:autoSpaceDN w:val="0"/>
              <w:adjustRightInd w:val="0"/>
              <w:spacing w:after="0"/>
              <w:rPr>
                <w:rFonts w:ascii="Arial" w:hAnsi="Arial" w:cs="Arial"/>
                <w:b/>
                <w:sz w:val="20"/>
              </w:rPr>
            </w:pPr>
            <w:r w:rsidRPr="003234C5">
              <w:rPr>
                <w:rFonts w:ascii="Arial" w:hAnsi="Arial" w:cs="Arial"/>
                <w:b/>
                <w:sz w:val="20"/>
              </w:rPr>
              <w:t>TOTAL (A)</w:t>
            </w:r>
          </w:p>
        </w:tc>
        <w:tc>
          <w:tcPr>
            <w:tcW w:w="1984" w:type="dxa"/>
            <w:tcBorders>
              <w:top w:val="single" w:sz="4" w:space="0" w:color="auto"/>
              <w:left w:val="single" w:sz="4" w:space="0" w:color="auto"/>
              <w:bottom w:val="single" w:sz="4" w:space="0" w:color="auto"/>
              <w:right w:val="single" w:sz="4" w:space="0" w:color="auto"/>
            </w:tcBorders>
            <w:shd w:val="clear" w:color="auto" w:fill="C0C0C0"/>
            <w:hideMark/>
          </w:tcPr>
          <w:p w14:paraId="02897092" w14:textId="5EC6062F" w:rsidR="00D55B47" w:rsidRPr="003234C5" w:rsidRDefault="00D55B47" w:rsidP="00D55B47">
            <w:pPr>
              <w:autoSpaceDE w:val="0"/>
              <w:autoSpaceDN w:val="0"/>
              <w:adjustRightInd w:val="0"/>
              <w:spacing w:after="0"/>
              <w:jc w:val="right"/>
              <w:rPr>
                <w:rFonts w:ascii="Arial" w:hAnsi="Arial" w:cs="Arial"/>
                <w:b/>
                <w:sz w:val="20"/>
              </w:rPr>
            </w:pPr>
            <w:r w:rsidRPr="003234C5">
              <w:rPr>
                <w:rFonts w:ascii="Arial" w:hAnsi="Arial" w:cs="Arial"/>
                <w:b/>
                <w:sz w:val="20"/>
              </w:rPr>
              <w:t>49.072</w:t>
            </w:r>
          </w:p>
        </w:tc>
      </w:tr>
      <w:tr w:rsidR="00D55B47" w:rsidRPr="003234C5" w14:paraId="71DE333E" w14:textId="77777777" w:rsidTr="00C93B3A">
        <w:trPr>
          <w:trHeight w:val="227"/>
        </w:trPr>
        <w:tc>
          <w:tcPr>
            <w:tcW w:w="442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2A433A0" w14:textId="77777777" w:rsidR="00D55B47" w:rsidRPr="003234C5" w:rsidRDefault="00D55B47" w:rsidP="00D55B47">
            <w:pPr>
              <w:pStyle w:val="PargrafodaLista"/>
              <w:numPr>
                <w:ilvl w:val="0"/>
                <w:numId w:val="33"/>
              </w:numPr>
              <w:autoSpaceDE w:val="0"/>
              <w:autoSpaceDN w:val="0"/>
              <w:adjustRightInd w:val="0"/>
              <w:spacing w:after="0"/>
              <w:ind w:left="346"/>
              <w:rPr>
                <w:rFonts w:ascii="Arial" w:hAnsi="Arial" w:cs="Arial"/>
                <w:b/>
                <w:sz w:val="20"/>
                <w:szCs w:val="20"/>
              </w:rPr>
            </w:pPr>
            <w:r w:rsidRPr="003234C5">
              <w:rPr>
                <w:rFonts w:ascii="Arial" w:hAnsi="Arial" w:cs="Arial"/>
                <w:b/>
                <w:sz w:val="20"/>
              </w:rPr>
              <w:t>PASSIVOS – DESCRIÇÃO</w:t>
            </w:r>
          </w:p>
        </w:tc>
        <w:tc>
          <w:tcPr>
            <w:tcW w:w="2552" w:type="dxa"/>
            <w:tcBorders>
              <w:top w:val="single" w:sz="4" w:space="0" w:color="auto"/>
              <w:left w:val="single" w:sz="4" w:space="0" w:color="auto"/>
              <w:bottom w:val="single" w:sz="4" w:space="0" w:color="auto"/>
              <w:right w:val="single" w:sz="4" w:space="0" w:color="auto"/>
            </w:tcBorders>
            <w:shd w:val="clear" w:color="auto" w:fill="C0C0C0"/>
            <w:vAlign w:val="center"/>
          </w:tcPr>
          <w:p w14:paraId="005D55E0" w14:textId="77777777" w:rsidR="00D55B47" w:rsidRPr="003234C5" w:rsidRDefault="00D55B47" w:rsidP="00D55B47">
            <w:pPr>
              <w:autoSpaceDE w:val="0"/>
              <w:autoSpaceDN w:val="0"/>
              <w:adjustRightInd w:val="0"/>
              <w:spacing w:after="0"/>
              <w:jc w:val="center"/>
              <w:rPr>
                <w:rFonts w:ascii="Arial" w:hAnsi="Arial" w:cs="Arial"/>
                <w:b/>
                <w:sz w:val="20"/>
              </w:rPr>
            </w:pPr>
            <w:r w:rsidRPr="003234C5">
              <w:rPr>
                <w:rFonts w:ascii="Arial" w:hAnsi="Arial" w:cs="Arial"/>
                <w:b/>
                <w:sz w:val="20"/>
              </w:rPr>
              <w:t>Nº NOTA DE DÉBITO</w:t>
            </w:r>
          </w:p>
        </w:tc>
        <w:tc>
          <w:tcPr>
            <w:tcW w:w="1984" w:type="dxa"/>
            <w:tcBorders>
              <w:top w:val="single" w:sz="4" w:space="0" w:color="auto"/>
              <w:left w:val="single" w:sz="4" w:space="0" w:color="auto"/>
              <w:bottom w:val="single" w:sz="4" w:space="0" w:color="auto"/>
              <w:right w:val="single" w:sz="4" w:space="0" w:color="auto"/>
            </w:tcBorders>
            <w:shd w:val="clear" w:color="auto" w:fill="C0C0C0"/>
            <w:vAlign w:val="center"/>
          </w:tcPr>
          <w:p w14:paraId="17B41033" w14:textId="232C7614" w:rsidR="00D55B47" w:rsidRPr="003234C5" w:rsidRDefault="00D55B47" w:rsidP="00D55B47">
            <w:pPr>
              <w:autoSpaceDE w:val="0"/>
              <w:autoSpaceDN w:val="0"/>
              <w:adjustRightInd w:val="0"/>
              <w:spacing w:after="0"/>
              <w:jc w:val="center"/>
              <w:rPr>
                <w:rFonts w:ascii="Arial" w:hAnsi="Arial" w:cs="Arial"/>
                <w:b/>
                <w:color w:val="000000" w:themeColor="text1"/>
                <w:sz w:val="20"/>
              </w:rPr>
            </w:pPr>
            <w:r w:rsidRPr="003234C5">
              <w:rPr>
                <w:rFonts w:ascii="Arial" w:hAnsi="Arial" w:cs="Arial"/>
                <w:b/>
                <w:sz w:val="20"/>
              </w:rPr>
              <w:t>201</w:t>
            </w:r>
            <w:r w:rsidR="00BF6817">
              <w:rPr>
                <w:rFonts w:ascii="Arial" w:hAnsi="Arial" w:cs="Arial"/>
                <w:b/>
                <w:sz w:val="20"/>
              </w:rPr>
              <w:t>9</w:t>
            </w:r>
          </w:p>
        </w:tc>
      </w:tr>
      <w:tr w:rsidR="00D55B47" w:rsidRPr="003234C5" w14:paraId="55ED86FA" w14:textId="77777777" w:rsidTr="00D55B47">
        <w:trPr>
          <w:trHeight w:val="227"/>
        </w:trPr>
        <w:tc>
          <w:tcPr>
            <w:tcW w:w="4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60BB00" w14:textId="77777777" w:rsidR="00D55B47" w:rsidRPr="003234C5" w:rsidRDefault="00D55B47" w:rsidP="00D55B47">
            <w:pPr>
              <w:spacing w:after="0"/>
              <w:jc w:val="both"/>
              <w:rPr>
                <w:rFonts w:ascii="Arial" w:hAnsi="Arial" w:cs="Arial"/>
                <w:sz w:val="20"/>
                <w:szCs w:val="20"/>
              </w:rPr>
            </w:pPr>
            <w:bookmarkStart w:id="15" w:name="_Hlk506310124"/>
            <w:bookmarkStart w:id="16" w:name="_Hlk506313312"/>
            <w:bookmarkStart w:id="17" w:name="_Hlk506316962"/>
            <w:bookmarkStart w:id="18" w:name="_Hlk506317852"/>
            <w:r w:rsidRPr="003234C5">
              <w:rPr>
                <w:rFonts w:ascii="Arial" w:hAnsi="Arial" w:cs="Arial"/>
                <w:sz w:val="20"/>
                <w:szCs w:val="20"/>
              </w:rPr>
              <w:t>Nota de Débito emitida pela CGTF</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F2ED8E" w14:textId="77777777" w:rsidR="00D55B47" w:rsidRPr="003234C5" w:rsidRDefault="00D55B47" w:rsidP="00D55B47">
            <w:pPr>
              <w:spacing w:after="0"/>
              <w:jc w:val="both"/>
              <w:rPr>
                <w:rFonts w:ascii="Arial" w:hAnsi="Arial" w:cs="Arial"/>
                <w:sz w:val="20"/>
                <w:szCs w:val="20"/>
              </w:rPr>
            </w:pPr>
            <w:r w:rsidRPr="003234C5">
              <w:rPr>
                <w:rFonts w:ascii="Arial" w:hAnsi="Arial" w:cs="Arial"/>
                <w:sz w:val="20"/>
                <w:szCs w:val="20"/>
              </w:rPr>
              <w:t>ND-010-17-R</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B90327C" w14:textId="2EC41E31" w:rsidR="00D55B47" w:rsidRPr="003234C5" w:rsidRDefault="00D55B47" w:rsidP="00D55B47">
            <w:pPr>
              <w:spacing w:after="0"/>
              <w:jc w:val="right"/>
              <w:rPr>
                <w:rFonts w:ascii="Arial" w:hAnsi="Arial" w:cs="Arial"/>
                <w:color w:val="000000" w:themeColor="text1"/>
                <w:sz w:val="20"/>
                <w:szCs w:val="20"/>
              </w:rPr>
            </w:pPr>
            <w:bookmarkStart w:id="19" w:name="OLE_LINK94"/>
            <w:bookmarkStart w:id="20" w:name="OLE_LINK95"/>
            <w:bookmarkStart w:id="21" w:name="OLE_LINK96"/>
            <w:r w:rsidRPr="003234C5">
              <w:rPr>
                <w:rFonts w:ascii="Arial" w:hAnsi="Arial" w:cs="Arial"/>
                <w:color w:val="000000" w:themeColor="text1"/>
                <w:sz w:val="20"/>
                <w:szCs w:val="20"/>
              </w:rPr>
              <w:t>(47.962</w:t>
            </w:r>
            <w:bookmarkEnd w:id="19"/>
            <w:bookmarkEnd w:id="20"/>
            <w:bookmarkEnd w:id="21"/>
            <w:r w:rsidRPr="003234C5">
              <w:rPr>
                <w:rFonts w:ascii="Arial" w:hAnsi="Arial" w:cs="Arial"/>
                <w:color w:val="000000" w:themeColor="text1"/>
                <w:sz w:val="20"/>
                <w:szCs w:val="20"/>
              </w:rPr>
              <w:t>)</w:t>
            </w:r>
          </w:p>
        </w:tc>
      </w:tr>
      <w:bookmarkEnd w:id="15"/>
      <w:bookmarkEnd w:id="16"/>
      <w:bookmarkEnd w:id="17"/>
      <w:bookmarkEnd w:id="18"/>
      <w:tr w:rsidR="00D55B47" w:rsidRPr="003234C5" w14:paraId="361CAF93" w14:textId="77777777" w:rsidTr="00D55B47">
        <w:trPr>
          <w:trHeight w:val="227"/>
        </w:trPr>
        <w:tc>
          <w:tcPr>
            <w:tcW w:w="6975"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14600D0C" w14:textId="77777777" w:rsidR="00D55B47" w:rsidRPr="003234C5" w:rsidRDefault="00D55B47" w:rsidP="00D55B47">
            <w:pPr>
              <w:spacing w:after="0"/>
              <w:rPr>
                <w:rFonts w:ascii="Arial" w:hAnsi="Arial" w:cs="Arial"/>
                <w:b/>
                <w:sz w:val="20"/>
              </w:rPr>
            </w:pPr>
            <w:r w:rsidRPr="003234C5">
              <w:rPr>
                <w:rFonts w:ascii="Arial" w:hAnsi="Arial" w:cs="Arial"/>
                <w:b/>
                <w:sz w:val="20"/>
              </w:rPr>
              <w:t>TOTAL (B)</w:t>
            </w:r>
          </w:p>
        </w:tc>
        <w:tc>
          <w:tcPr>
            <w:tcW w:w="1984" w:type="dxa"/>
            <w:tcBorders>
              <w:top w:val="single" w:sz="4" w:space="0" w:color="auto"/>
              <w:left w:val="single" w:sz="4" w:space="0" w:color="auto"/>
              <w:bottom w:val="single" w:sz="4" w:space="0" w:color="auto"/>
              <w:right w:val="single" w:sz="4" w:space="0" w:color="auto"/>
            </w:tcBorders>
            <w:shd w:val="clear" w:color="auto" w:fill="C0C0C0"/>
            <w:hideMark/>
          </w:tcPr>
          <w:p w14:paraId="43E1523C" w14:textId="573F4453" w:rsidR="00D55B47" w:rsidRPr="003234C5" w:rsidRDefault="00D55B47" w:rsidP="00D55B47">
            <w:pPr>
              <w:autoSpaceDE w:val="0"/>
              <w:autoSpaceDN w:val="0"/>
              <w:adjustRightInd w:val="0"/>
              <w:spacing w:after="0"/>
              <w:jc w:val="right"/>
              <w:rPr>
                <w:rFonts w:ascii="Arial" w:hAnsi="Arial" w:cs="Arial"/>
                <w:b/>
                <w:color w:val="000000" w:themeColor="text1"/>
                <w:sz w:val="20"/>
              </w:rPr>
            </w:pPr>
            <w:r w:rsidRPr="003234C5">
              <w:rPr>
                <w:rFonts w:ascii="Arial" w:hAnsi="Arial" w:cs="Arial"/>
                <w:b/>
                <w:color w:val="000000" w:themeColor="text1"/>
                <w:sz w:val="20"/>
              </w:rPr>
              <w:t>(47.962)</w:t>
            </w:r>
          </w:p>
        </w:tc>
      </w:tr>
      <w:tr w:rsidR="00D55B47" w:rsidRPr="003234C5" w14:paraId="160E607A" w14:textId="77777777" w:rsidTr="00D55B47">
        <w:trPr>
          <w:trHeight w:val="227"/>
        </w:trPr>
        <w:tc>
          <w:tcPr>
            <w:tcW w:w="6975"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6A7E981" w14:textId="77777777" w:rsidR="00D55B47" w:rsidRPr="003234C5" w:rsidRDefault="00D55B47" w:rsidP="00D55B47">
            <w:pPr>
              <w:spacing w:after="0"/>
              <w:rPr>
                <w:rFonts w:ascii="Arial" w:hAnsi="Arial" w:cs="Arial"/>
                <w:b/>
                <w:sz w:val="20"/>
              </w:rPr>
            </w:pPr>
            <w:r w:rsidRPr="003234C5">
              <w:rPr>
                <w:rFonts w:ascii="Arial" w:hAnsi="Arial" w:cs="Arial"/>
                <w:b/>
                <w:sz w:val="20"/>
              </w:rPr>
              <w:t>Saldo a Receber Líquido (A – B)</w:t>
            </w:r>
          </w:p>
        </w:tc>
        <w:tc>
          <w:tcPr>
            <w:tcW w:w="1984" w:type="dxa"/>
            <w:tcBorders>
              <w:top w:val="single" w:sz="4" w:space="0" w:color="auto"/>
              <w:left w:val="single" w:sz="4" w:space="0" w:color="auto"/>
              <w:bottom w:val="single" w:sz="4" w:space="0" w:color="auto"/>
              <w:right w:val="single" w:sz="4" w:space="0" w:color="auto"/>
            </w:tcBorders>
            <w:shd w:val="clear" w:color="auto" w:fill="C0C0C0"/>
          </w:tcPr>
          <w:p w14:paraId="02B5DDE6" w14:textId="6CB7754E" w:rsidR="00D55B47" w:rsidRPr="003234C5" w:rsidRDefault="00D55B47" w:rsidP="00D55B47">
            <w:pPr>
              <w:autoSpaceDE w:val="0"/>
              <w:autoSpaceDN w:val="0"/>
              <w:adjustRightInd w:val="0"/>
              <w:spacing w:after="0"/>
              <w:jc w:val="right"/>
              <w:rPr>
                <w:rFonts w:ascii="Arial" w:hAnsi="Arial" w:cs="Arial"/>
                <w:b/>
                <w:sz w:val="20"/>
              </w:rPr>
            </w:pPr>
            <w:r w:rsidRPr="003234C5">
              <w:rPr>
                <w:rFonts w:ascii="Arial" w:hAnsi="Arial" w:cs="Arial"/>
                <w:b/>
                <w:sz w:val="20"/>
              </w:rPr>
              <w:t>1.11</w:t>
            </w:r>
            <w:r w:rsidR="00FE33EB" w:rsidRPr="003234C5">
              <w:rPr>
                <w:rFonts w:ascii="Arial" w:hAnsi="Arial" w:cs="Arial"/>
                <w:b/>
                <w:sz w:val="20"/>
              </w:rPr>
              <w:t>0</w:t>
            </w:r>
          </w:p>
        </w:tc>
      </w:tr>
    </w:tbl>
    <w:p w14:paraId="0A64DD31" w14:textId="4E2CB6C0" w:rsidR="00234059" w:rsidRPr="003234C5" w:rsidRDefault="00D55B47" w:rsidP="00D55B47">
      <w:pPr>
        <w:autoSpaceDE w:val="0"/>
        <w:autoSpaceDN w:val="0"/>
        <w:adjustRightInd w:val="0"/>
        <w:jc w:val="both"/>
        <w:rPr>
          <w:rFonts w:ascii="Arial" w:hAnsi="Arial" w:cs="Arial"/>
          <w:sz w:val="24"/>
          <w:szCs w:val="24"/>
        </w:rPr>
      </w:pPr>
      <w:r w:rsidRPr="003234C5">
        <w:rPr>
          <w:rFonts w:ascii="Arial" w:hAnsi="Arial" w:cs="Arial"/>
          <w:sz w:val="24"/>
          <w:szCs w:val="24"/>
        </w:rPr>
        <w:t xml:space="preserve"> </w:t>
      </w:r>
    </w:p>
    <w:bookmarkEnd w:id="7"/>
    <w:p w14:paraId="5267BD38" w14:textId="40109103" w:rsidR="00200682" w:rsidRPr="003234C5" w:rsidRDefault="00200682" w:rsidP="00200682">
      <w:pPr>
        <w:autoSpaceDE w:val="0"/>
        <w:autoSpaceDN w:val="0"/>
        <w:adjustRightInd w:val="0"/>
        <w:jc w:val="both"/>
        <w:rPr>
          <w:rFonts w:ascii="Arial" w:hAnsi="Arial" w:cs="Arial"/>
          <w:b/>
        </w:rPr>
      </w:pPr>
      <w:r w:rsidRPr="003234C5">
        <w:rPr>
          <w:rFonts w:ascii="Arial" w:hAnsi="Arial" w:cs="Arial"/>
          <w:b/>
        </w:rPr>
        <w:t xml:space="preserve">NOTA </w:t>
      </w:r>
      <w:r w:rsidR="00351159" w:rsidRPr="003234C5">
        <w:rPr>
          <w:rFonts w:ascii="Arial" w:hAnsi="Arial" w:cs="Arial"/>
          <w:b/>
        </w:rPr>
        <w:t>1</w:t>
      </w:r>
      <w:r w:rsidR="00176863" w:rsidRPr="003234C5">
        <w:rPr>
          <w:rFonts w:ascii="Arial" w:hAnsi="Arial" w:cs="Arial"/>
          <w:b/>
        </w:rPr>
        <w:t>1</w:t>
      </w:r>
      <w:r w:rsidRPr="003234C5">
        <w:rPr>
          <w:rFonts w:ascii="Arial" w:hAnsi="Arial" w:cs="Arial"/>
          <w:b/>
        </w:rPr>
        <w:t xml:space="preserve">. ESTOQUE </w:t>
      </w:r>
    </w:p>
    <w:p w14:paraId="70D2ECBA" w14:textId="2FE98DDE" w:rsidR="00200682" w:rsidRPr="003234C5" w:rsidRDefault="00200682" w:rsidP="00200682">
      <w:pPr>
        <w:autoSpaceDE w:val="0"/>
        <w:autoSpaceDN w:val="0"/>
        <w:adjustRightInd w:val="0"/>
        <w:jc w:val="both"/>
        <w:rPr>
          <w:rFonts w:ascii="Arial" w:hAnsi="Arial" w:cs="Arial"/>
        </w:rPr>
      </w:pPr>
      <w:r w:rsidRPr="003234C5">
        <w:rPr>
          <w:rFonts w:ascii="Arial" w:hAnsi="Arial" w:cs="Arial"/>
        </w:rPr>
        <w:t xml:space="preserve">A Companhia registra o estoque de gás natural decorrente do armazenamento do produto em sua rede de </w:t>
      </w:r>
      <w:r w:rsidR="00C41917" w:rsidRPr="003234C5">
        <w:rPr>
          <w:rFonts w:ascii="Arial" w:hAnsi="Arial" w:cs="Arial"/>
        </w:rPr>
        <w:t>distribuição canalizada</w:t>
      </w:r>
      <w:r w:rsidRPr="003234C5">
        <w:rPr>
          <w:rFonts w:ascii="Arial" w:hAnsi="Arial" w:cs="Arial"/>
        </w:rPr>
        <w:t xml:space="preserve">. O valor apurado corresponde a capacidade instalada </w:t>
      </w:r>
      <w:r w:rsidR="008A6C6A" w:rsidRPr="003234C5">
        <w:rPr>
          <w:rFonts w:ascii="Arial" w:hAnsi="Arial" w:cs="Arial"/>
        </w:rPr>
        <w:t xml:space="preserve">em </w:t>
      </w:r>
      <w:r w:rsidRPr="003234C5">
        <w:rPr>
          <w:rFonts w:ascii="Arial" w:hAnsi="Arial" w:cs="Arial"/>
        </w:rPr>
        <w:t xml:space="preserve">sua malha de </w:t>
      </w:r>
      <w:r w:rsidR="00C41917" w:rsidRPr="003234C5">
        <w:rPr>
          <w:rFonts w:ascii="Arial" w:hAnsi="Arial" w:cs="Arial"/>
        </w:rPr>
        <w:t>gasodutos</w:t>
      </w:r>
      <w:r w:rsidRPr="003234C5">
        <w:rPr>
          <w:rFonts w:ascii="Arial" w:hAnsi="Arial" w:cs="Arial"/>
        </w:rPr>
        <w:t xml:space="preserve"> que é de </w:t>
      </w:r>
      <w:r w:rsidR="00435512" w:rsidRPr="00C43A65">
        <w:rPr>
          <w:rFonts w:ascii="Arial" w:hAnsi="Arial" w:cs="Arial"/>
        </w:rPr>
        <w:t>77.713</w:t>
      </w:r>
      <w:r w:rsidRPr="00C43A65">
        <w:rPr>
          <w:rFonts w:ascii="Arial" w:hAnsi="Arial" w:cs="Arial"/>
        </w:rPr>
        <w:t>m³,</w:t>
      </w:r>
      <w:r w:rsidRPr="003234C5">
        <w:rPr>
          <w:rFonts w:ascii="Arial" w:hAnsi="Arial" w:cs="Arial"/>
        </w:rPr>
        <w:t xml:space="preserve"> multiplicado pelo custo de aquisição do Gás em </w:t>
      </w:r>
      <w:r w:rsidR="00C51984">
        <w:rPr>
          <w:rFonts w:ascii="Arial" w:hAnsi="Arial" w:cs="Arial"/>
        </w:rPr>
        <w:t>dezembro</w:t>
      </w:r>
      <w:r w:rsidRPr="003234C5">
        <w:rPr>
          <w:rFonts w:ascii="Arial" w:hAnsi="Arial" w:cs="Arial"/>
        </w:rPr>
        <w:t xml:space="preserve"> de 201</w:t>
      </w:r>
      <w:r w:rsidR="00584478" w:rsidRPr="003234C5">
        <w:rPr>
          <w:rFonts w:ascii="Arial" w:hAnsi="Arial" w:cs="Arial"/>
        </w:rPr>
        <w:t>9</w:t>
      </w:r>
      <w:r w:rsidR="00A8638E" w:rsidRPr="003234C5">
        <w:rPr>
          <w:rFonts w:ascii="Arial" w:hAnsi="Arial" w:cs="Arial"/>
        </w:rPr>
        <w:t>,</w:t>
      </w:r>
      <w:r w:rsidRPr="003234C5">
        <w:rPr>
          <w:rFonts w:ascii="Arial" w:hAnsi="Arial" w:cs="Arial"/>
        </w:rPr>
        <w:t xml:space="preserve"> que é de R$ </w:t>
      </w:r>
      <w:r w:rsidR="00C342D9" w:rsidRPr="003B2560">
        <w:rPr>
          <w:rFonts w:ascii="Arial" w:hAnsi="Arial" w:cs="Arial"/>
        </w:rPr>
        <w:t>1,2</w:t>
      </w:r>
      <w:r w:rsidR="00C87102" w:rsidRPr="003B2560">
        <w:rPr>
          <w:rFonts w:ascii="Arial" w:hAnsi="Arial" w:cs="Arial"/>
        </w:rPr>
        <w:t>692</w:t>
      </w:r>
      <w:r w:rsidR="00B10A7A" w:rsidRPr="003234C5">
        <w:rPr>
          <w:rFonts w:ascii="Arial" w:hAnsi="Arial" w:cs="Arial"/>
        </w:rPr>
        <w:t xml:space="preserve"> </w:t>
      </w:r>
      <w:r w:rsidRPr="003234C5">
        <w:rPr>
          <w:rFonts w:ascii="Arial" w:hAnsi="Arial" w:cs="Arial"/>
        </w:rPr>
        <w:t>/ m³</w:t>
      </w:r>
      <w:r w:rsidR="00C93240">
        <w:rPr>
          <w:rFonts w:ascii="Arial" w:hAnsi="Arial" w:cs="Arial"/>
        </w:rPr>
        <w:t>. Em 2018, a capacidade instalada foi 74.183</w:t>
      </w:r>
      <w:r w:rsidR="00C93240" w:rsidRPr="00C93240">
        <w:rPr>
          <w:rFonts w:ascii="Arial" w:hAnsi="Arial" w:cs="Arial"/>
        </w:rPr>
        <w:t xml:space="preserve"> </w:t>
      </w:r>
      <w:r w:rsidR="00C93240" w:rsidRPr="00C43A65">
        <w:rPr>
          <w:rFonts w:ascii="Arial" w:hAnsi="Arial" w:cs="Arial"/>
        </w:rPr>
        <w:t>m³</w:t>
      </w:r>
      <w:r w:rsidR="00C93240">
        <w:rPr>
          <w:rFonts w:ascii="Arial" w:hAnsi="Arial" w:cs="Arial"/>
        </w:rPr>
        <w:t xml:space="preserve"> e o custo de aquisição do gás foi </w:t>
      </w:r>
      <w:r w:rsidR="00C93240" w:rsidRPr="008C71D1">
        <w:rPr>
          <w:rFonts w:ascii="Arial" w:hAnsi="Arial" w:cs="Arial"/>
        </w:rPr>
        <w:t>R$ 1,2412 / m</w:t>
      </w:r>
      <w:proofErr w:type="gramStart"/>
      <w:r w:rsidR="00C93240" w:rsidRPr="008C71D1">
        <w:rPr>
          <w:rFonts w:ascii="Arial" w:hAnsi="Arial" w:cs="Arial"/>
        </w:rPr>
        <w:t>³</w:t>
      </w:r>
      <w:r w:rsidRPr="003234C5">
        <w:rPr>
          <w:rFonts w:ascii="Arial" w:hAnsi="Arial" w:cs="Arial"/>
        </w:rPr>
        <w:t xml:space="preserve"> </w:t>
      </w:r>
      <w:r w:rsidR="00C93240">
        <w:rPr>
          <w:rFonts w:ascii="Arial" w:hAnsi="Arial" w:cs="Arial"/>
        </w:rPr>
        <w:t>.</w:t>
      </w:r>
      <w:proofErr w:type="gramEnd"/>
      <w:r w:rsidR="00C93240">
        <w:rPr>
          <w:rFonts w:ascii="Arial" w:hAnsi="Arial" w:cs="Arial"/>
        </w:rPr>
        <w:t xml:space="preserve"> </w:t>
      </w:r>
      <w:r w:rsidRPr="003234C5">
        <w:rPr>
          <w:rFonts w:ascii="Arial" w:hAnsi="Arial" w:cs="Arial"/>
        </w:rPr>
        <w:t>Os demais estoques referem-se a materiais de uso e consumo e a peças para manutenção.</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1752"/>
        <w:gridCol w:w="1752"/>
      </w:tblGrid>
      <w:tr w:rsidR="00200682" w:rsidRPr="003234C5" w14:paraId="6765365F" w14:textId="77777777" w:rsidTr="00390FD8">
        <w:trPr>
          <w:trHeight w:val="393"/>
          <w:jc w:val="center"/>
        </w:trPr>
        <w:tc>
          <w:tcPr>
            <w:tcW w:w="5529" w:type="dxa"/>
            <w:shd w:val="clear" w:color="auto" w:fill="C0C0C0"/>
            <w:vAlign w:val="center"/>
          </w:tcPr>
          <w:p w14:paraId="66D07E2D" w14:textId="77777777" w:rsidR="00200682" w:rsidRPr="003234C5" w:rsidRDefault="00200682" w:rsidP="00E8434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ESTOQUES</w:t>
            </w:r>
          </w:p>
        </w:tc>
        <w:tc>
          <w:tcPr>
            <w:tcW w:w="1752" w:type="dxa"/>
            <w:shd w:val="clear" w:color="auto" w:fill="C0C0C0"/>
            <w:vAlign w:val="bottom"/>
          </w:tcPr>
          <w:p w14:paraId="67855FAF" w14:textId="374D20E4" w:rsidR="00200682" w:rsidRPr="003234C5" w:rsidRDefault="00C6257E" w:rsidP="00E84342">
            <w:pPr>
              <w:spacing w:after="0"/>
              <w:jc w:val="center"/>
              <w:rPr>
                <w:rFonts w:ascii="Arial" w:hAnsi="Arial" w:cs="Arial"/>
                <w:b/>
                <w:bCs/>
                <w:color w:val="000000"/>
                <w:sz w:val="20"/>
                <w:szCs w:val="20"/>
              </w:rPr>
            </w:pPr>
            <w:r>
              <w:rPr>
                <w:rFonts w:ascii="Arial" w:hAnsi="Arial" w:cs="Arial"/>
                <w:b/>
                <w:bCs/>
                <w:color w:val="000000"/>
                <w:sz w:val="20"/>
                <w:szCs w:val="20"/>
              </w:rPr>
              <w:t>2019</w:t>
            </w:r>
          </w:p>
        </w:tc>
        <w:tc>
          <w:tcPr>
            <w:tcW w:w="1752" w:type="dxa"/>
            <w:shd w:val="clear" w:color="auto" w:fill="C0C0C0"/>
            <w:vAlign w:val="bottom"/>
          </w:tcPr>
          <w:p w14:paraId="02B4A687" w14:textId="26D5D2EA" w:rsidR="00200682" w:rsidRPr="003234C5" w:rsidRDefault="00C6257E" w:rsidP="00E84342">
            <w:pPr>
              <w:spacing w:after="0"/>
              <w:jc w:val="center"/>
              <w:rPr>
                <w:rFonts w:ascii="Arial" w:hAnsi="Arial" w:cs="Arial"/>
                <w:b/>
                <w:bCs/>
                <w:color w:val="000000"/>
                <w:sz w:val="20"/>
                <w:szCs w:val="20"/>
              </w:rPr>
            </w:pPr>
            <w:r>
              <w:rPr>
                <w:rFonts w:ascii="Arial" w:hAnsi="Arial" w:cs="Arial"/>
                <w:b/>
                <w:bCs/>
                <w:color w:val="000000"/>
                <w:sz w:val="20"/>
                <w:szCs w:val="20"/>
              </w:rPr>
              <w:t>2018</w:t>
            </w:r>
          </w:p>
        </w:tc>
      </w:tr>
      <w:tr w:rsidR="00491426" w:rsidRPr="003234C5" w14:paraId="2F603A75" w14:textId="77777777" w:rsidTr="009321CF">
        <w:trPr>
          <w:trHeight w:val="227"/>
          <w:jc w:val="center"/>
        </w:trPr>
        <w:tc>
          <w:tcPr>
            <w:tcW w:w="5529" w:type="dxa"/>
            <w:shd w:val="clear" w:color="auto" w:fill="FFFFFF"/>
          </w:tcPr>
          <w:p w14:paraId="30E3D699" w14:textId="77777777"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Estoque de Gás Natural</w:t>
            </w:r>
          </w:p>
        </w:tc>
        <w:tc>
          <w:tcPr>
            <w:tcW w:w="1752" w:type="dxa"/>
            <w:shd w:val="clear" w:color="auto" w:fill="FFFFFF"/>
            <w:vAlign w:val="center"/>
          </w:tcPr>
          <w:p w14:paraId="2FAC6E45" w14:textId="34300A7C" w:rsidR="00491426" w:rsidRPr="003234C5" w:rsidRDefault="00B041CD" w:rsidP="00491426">
            <w:pPr>
              <w:spacing w:after="0"/>
              <w:jc w:val="right"/>
              <w:rPr>
                <w:rFonts w:ascii="Arial" w:hAnsi="Arial" w:cs="Arial"/>
                <w:sz w:val="20"/>
                <w:szCs w:val="20"/>
              </w:rPr>
            </w:pPr>
            <w:r>
              <w:rPr>
                <w:rFonts w:ascii="Arial" w:hAnsi="Arial" w:cs="Arial"/>
                <w:sz w:val="20"/>
                <w:szCs w:val="20"/>
              </w:rPr>
              <w:t>99</w:t>
            </w:r>
          </w:p>
        </w:tc>
        <w:tc>
          <w:tcPr>
            <w:tcW w:w="1752" w:type="dxa"/>
            <w:shd w:val="clear" w:color="auto" w:fill="FFFFFF"/>
            <w:vAlign w:val="center"/>
          </w:tcPr>
          <w:p w14:paraId="050F19DF" w14:textId="3240F95B"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92</w:t>
            </w:r>
          </w:p>
        </w:tc>
      </w:tr>
      <w:tr w:rsidR="00491426" w:rsidRPr="003234C5" w14:paraId="5123E024" w14:textId="77777777" w:rsidTr="009321CF">
        <w:trPr>
          <w:trHeight w:val="227"/>
          <w:jc w:val="center"/>
        </w:trPr>
        <w:tc>
          <w:tcPr>
            <w:tcW w:w="5529" w:type="dxa"/>
            <w:shd w:val="clear" w:color="auto" w:fill="FFFFFF"/>
          </w:tcPr>
          <w:p w14:paraId="19AF680F" w14:textId="77777777"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Estoque de Materiais para Uso e Consumo</w:t>
            </w:r>
          </w:p>
        </w:tc>
        <w:tc>
          <w:tcPr>
            <w:tcW w:w="1752" w:type="dxa"/>
            <w:shd w:val="clear" w:color="auto" w:fill="FFFFFF"/>
            <w:vAlign w:val="center"/>
          </w:tcPr>
          <w:p w14:paraId="7937BAD9" w14:textId="6D8622AF" w:rsidR="00491426" w:rsidRPr="003234C5" w:rsidRDefault="00B041CD" w:rsidP="00491426">
            <w:pPr>
              <w:spacing w:after="0"/>
              <w:jc w:val="right"/>
              <w:rPr>
                <w:rFonts w:ascii="Arial" w:hAnsi="Arial" w:cs="Arial"/>
                <w:sz w:val="20"/>
                <w:szCs w:val="20"/>
              </w:rPr>
            </w:pPr>
            <w:r>
              <w:rPr>
                <w:rFonts w:ascii="Arial" w:hAnsi="Arial" w:cs="Arial"/>
                <w:sz w:val="20"/>
                <w:szCs w:val="20"/>
              </w:rPr>
              <w:t>141</w:t>
            </w:r>
          </w:p>
        </w:tc>
        <w:tc>
          <w:tcPr>
            <w:tcW w:w="1752" w:type="dxa"/>
            <w:shd w:val="clear" w:color="auto" w:fill="FFFFFF"/>
            <w:vAlign w:val="center"/>
          </w:tcPr>
          <w:p w14:paraId="6A0807E6" w14:textId="14B1F402"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159</w:t>
            </w:r>
          </w:p>
        </w:tc>
      </w:tr>
      <w:tr w:rsidR="00491426" w:rsidRPr="003234C5" w14:paraId="4ED1F0C1" w14:textId="77777777" w:rsidTr="009321CF">
        <w:trPr>
          <w:trHeight w:val="227"/>
          <w:jc w:val="center"/>
        </w:trPr>
        <w:tc>
          <w:tcPr>
            <w:tcW w:w="5529" w:type="dxa"/>
            <w:shd w:val="clear" w:color="auto" w:fill="FFFFFF"/>
          </w:tcPr>
          <w:p w14:paraId="685A99E5" w14:textId="77777777"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Estoque de Peças para Manutenção</w:t>
            </w:r>
          </w:p>
        </w:tc>
        <w:tc>
          <w:tcPr>
            <w:tcW w:w="1752" w:type="dxa"/>
            <w:shd w:val="clear" w:color="auto" w:fill="FFFFFF"/>
            <w:vAlign w:val="center"/>
          </w:tcPr>
          <w:p w14:paraId="76CED7B4" w14:textId="1BFB28C8" w:rsidR="00491426" w:rsidRPr="003234C5" w:rsidRDefault="00B041CD" w:rsidP="00491426">
            <w:pPr>
              <w:spacing w:after="0"/>
              <w:jc w:val="right"/>
              <w:rPr>
                <w:rFonts w:ascii="Arial" w:hAnsi="Arial" w:cs="Arial"/>
                <w:sz w:val="20"/>
                <w:szCs w:val="20"/>
              </w:rPr>
            </w:pPr>
            <w:r>
              <w:rPr>
                <w:rFonts w:ascii="Arial" w:hAnsi="Arial" w:cs="Arial"/>
                <w:sz w:val="20"/>
                <w:szCs w:val="20"/>
              </w:rPr>
              <w:t>614</w:t>
            </w:r>
          </w:p>
        </w:tc>
        <w:tc>
          <w:tcPr>
            <w:tcW w:w="1752" w:type="dxa"/>
            <w:shd w:val="clear" w:color="auto" w:fill="FFFFFF"/>
            <w:vAlign w:val="center"/>
          </w:tcPr>
          <w:p w14:paraId="78361BB5" w14:textId="68E19D8E"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417</w:t>
            </w:r>
          </w:p>
        </w:tc>
      </w:tr>
      <w:tr w:rsidR="00491426" w:rsidRPr="003234C5" w14:paraId="645D78C6" w14:textId="77777777" w:rsidTr="009321CF">
        <w:trPr>
          <w:trHeight w:val="227"/>
          <w:jc w:val="center"/>
        </w:trPr>
        <w:tc>
          <w:tcPr>
            <w:tcW w:w="5529" w:type="dxa"/>
            <w:shd w:val="clear" w:color="auto" w:fill="C0C0C0"/>
            <w:vAlign w:val="center"/>
          </w:tcPr>
          <w:p w14:paraId="670DFBA5" w14:textId="77777777" w:rsidR="00491426" w:rsidRPr="003234C5" w:rsidRDefault="00491426" w:rsidP="00491426">
            <w:pPr>
              <w:autoSpaceDE w:val="0"/>
              <w:autoSpaceDN w:val="0"/>
              <w:adjustRightInd w:val="0"/>
              <w:spacing w:after="0"/>
              <w:jc w:val="both"/>
              <w:rPr>
                <w:rFonts w:ascii="Arial" w:hAnsi="Arial" w:cs="Arial"/>
                <w:b/>
                <w:sz w:val="20"/>
                <w:szCs w:val="20"/>
              </w:rPr>
            </w:pPr>
            <w:r w:rsidRPr="003234C5">
              <w:rPr>
                <w:rFonts w:ascii="Arial" w:hAnsi="Arial" w:cs="Arial"/>
                <w:b/>
                <w:sz w:val="20"/>
                <w:szCs w:val="20"/>
              </w:rPr>
              <w:t xml:space="preserve">TOTAL </w:t>
            </w:r>
          </w:p>
        </w:tc>
        <w:tc>
          <w:tcPr>
            <w:tcW w:w="1752" w:type="dxa"/>
            <w:shd w:val="clear" w:color="auto" w:fill="C0C0C0"/>
            <w:vAlign w:val="center"/>
          </w:tcPr>
          <w:p w14:paraId="1E7BD97C" w14:textId="01E1DF9B" w:rsidR="00491426" w:rsidRPr="003234C5" w:rsidRDefault="008B709A" w:rsidP="00491426">
            <w:pPr>
              <w:autoSpaceDE w:val="0"/>
              <w:autoSpaceDN w:val="0"/>
              <w:adjustRightInd w:val="0"/>
              <w:spacing w:after="0"/>
              <w:jc w:val="right"/>
              <w:rPr>
                <w:rFonts w:ascii="Arial" w:hAnsi="Arial" w:cs="Arial"/>
                <w:b/>
                <w:sz w:val="20"/>
                <w:szCs w:val="20"/>
              </w:rPr>
            </w:pPr>
            <w:r>
              <w:rPr>
                <w:rFonts w:ascii="Arial" w:hAnsi="Arial" w:cs="Arial"/>
                <w:b/>
                <w:sz w:val="20"/>
                <w:szCs w:val="20"/>
              </w:rPr>
              <w:t>854</w:t>
            </w:r>
          </w:p>
        </w:tc>
        <w:tc>
          <w:tcPr>
            <w:tcW w:w="1752" w:type="dxa"/>
            <w:shd w:val="clear" w:color="auto" w:fill="C0C0C0"/>
            <w:vAlign w:val="center"/>
          </w:tcPr>
          <w:p w14:paraId="10533D25" w14:textId="711A32E6" w:rsidR="00491426" w:rsidRPr="003234C5" w:rsidRDefault="00491426" w:rsidP="00491426">
            <w:pPr>
              <w:autoSpaceDE w:val="0"/>
              <w:autoSpaceDN w:val="0"/>
              <w:adjustRightInd w:val="0"/>
              <w:spacing w:after="0"/>
              <w:jc w:val="right"/>
              <w:rPr>
                <w:rFonts w:ascii="Arial" w:hAnsi="Arial" w:cs="Arial"/>
                <w:b/>
                <w:sz w:val="20"/>
                <w:szCs w:val="20"/>
              </w:rPr>
            </w:pPr>
            <w:r w:rsidRPr="003234C5">
              <w:rPr>
                <w:rFonts w:ascii="Arial" w:hAnsi="Arial" w:cs="Arial"/>
                <w:b/>
                <w:bCs/>
                <w:color w:val="000000"/>
                <w:sz w:val="20"/>
                <w:szCs w:val="20"/>
              </w:rPr>
              <w:t>668</w:t>
            </w:r>
          </w:p>
        </w:tc>
      </w:tr>
    </w:tbl>
    <w:p w14:paraId="70EF36F1" w14:textId="77777777" w:rsidR="00200682" w:rsidRPr="003234C5" w:rsidRDefault="00200682" w:rsidP="00200682">
      <w:pPr>
        <w:shd w:val="clear" w:color="auto" w:fill="FFFFFF"/>
        <w:jc w:val="both"/>
        <w:rPr>
          <w:rFonts w:ascii="Arial" w:hAnsi="Arial" w:cs="Arial"/>
          <w:b/>
        </w:rPr>
      </w:pPr>
    </w:p>
    <w:p w14:paraId="241BB4C9" w14:textId="1440FA75" w:rsidR="00200682" w:rsidRPr="003234C5" w:rsidRDefault="00200682" w:rsidP="00200682">
      <w:pPr>
        <w:shd w:val="clear" w:color="auto" w:fill="FFFFFF"/>
        <w:jc w:val="both"/>
        <w:rPr>
          <w:rFonts w:ascii="Arial" w:hAnsi="Arial" w:cs="Arial"/>
          <w:b/>
        </w:rPr>
      </w:pPr>
      <w:r w:rsidRPr="003234C5">
        <w:rPr>
          <w:rFonts w:ascii="Arial" w:hAnsi="Arial" w:cs="Arial"/>
          <w:b/>
        </w:rPr>
        <w:t xml:space="preserve">NOTA </w:t>
      </w:r>
      <w:r w:rsidR="00351159" w:rsidRPr="003234C5">
        <w:rPr>
          <w:rFonts w:ascii="Arial" w:hAnsi="Arial" w:cs="Arial"/>
          <w:b/>
        </w:rPr>
        <w:t>1</w:t>
      </w:r>
      <w:r w:rsidR="00176863" w:rsidRPr="003234C5">
        <w:rPr>
          <w:rFonts w:ascii="Arial" w:hAnsi="Arial" w:cs="Arial"/>
          <w:b/>
        </w:rPr>
        <w:t>2</w:t>
      </w:r>
      <w:r w:rsidRPr="003234C5">
        <w:rPr>
          <w:rFonts w:ascii="Arial" w:hAnsi="Arial" w:cs="Arial"/>
          <w:b/>
        </w:rPr>
        <w:t>. TRIBUTOS A RECUPERAR</w:t>
      </w:r>
    </w:p>
    <w:p w14:paraId="55F358F6" w14:textId="77777777" w:rsidR="00200682" w:rsidRPr="003234C5" w:rsidRDefault="00200682" w:rsidP="00200682">
      <w:pPr>
        <w:jc w:val="both"/>
        <w:rPr>
          <w:rFonts w:ascii="Arial" w:hAnsi="Arial" w:cs="Arial"/>
        </w:rPr>
      </w:pPr>
      <w:r w:rsidRPr="003234C5">
        <w:rPr>
          <w:rFonts w:ascii="Arial" w:hAnsi="Arial" w:cs="Arial"/>
        </w:rPr>
        <w:t xml:space="preserve">Os impostos a compensar estão assim demonstrados: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5"/>
        <w:gridCol w:w="1753"/>
        <w:gridCol w:w="1753"/>
      </w:tblGrid>
      <w:tr w:rsidR="00001B1F" w:rsidRPr="003234C5" w14:paraId="0736C2FE" w14:textId="77777777" w:rsidTr="009321CF">
        <w:trPr>
          <w:trHeight w:val="227"/>
          <w:jc w:val="center"/>
        </w:trPr>
        <w:tc>
          <w:tcPr>
            <w:tcW w:w="5425" w:type="dxa"/>
            <w:shd w:val="clear" w:color="auto" w:fill="C0C0C0"/>
            <w:vAlign w:val="center"/>
          </w:tcPr>
          <w:p w14:paraId="73A8BC51" w14:textId="6701C959" w:rsidR="00001B1F" w:rsidRPr="003234C5" w:rsidRDefault="00001B1F" w:rsidP="00001B1F">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CIRCULANTE</w:t>
            </w:r>
          </w:p>
        </w:tc>
        <w:tc>
          <w:tcPr>
            <w:tcW w:w="1753" w:type="dxa"/>
            <w:shd w:val="clear" w:color="auto" w:fill="C0C0C0"/>
            <w:vAlign w:val="bottom"/>
          </w:tcPr>
          <w:p w14:paraId="2B4D5F4C" w14:textId="332BF858" w:rsidR="00001B1F" w:rsidRPr="003234C5" w:rsidRDefault="00C6257E" w:rsidP="00001B1F">
            <w:pPr>
              <w:spacing w:after="0"/>
              <w:jc w:val="center"/>
              <w:rPr>
                <w:rFonts w:ascii="Arial" w:hAnsi="Arial" w:cs="Arial"/>
                <w:b/>
                <w:bCs/>
                <w:color w:val="000000"/>
                <w:sz w:val="20"/>
                <w:szCs w:val="20"/>
              </w:rPr>
            </w:pPr>
            <w:r>
              <w:rPr>
                <w:rFonts w:ascii="Arial" w:hAnsi="Arial" w:cs="Arial"/>
                <w:b/>
                <w:bCs/>
                <w:color w:val="000000"/>
                <w:sz w:val="20"/>
                <w:szCs w:val="20"/>
              </w:rPr>
              <w:t>2019</w:t>
            </w:r>
          </w:p>
        </w:tc>
        <w:tc>
          <w:tcPr>
            <w:tcW w:w="1753" w:type="dxa"/>
            <w:shd w:val="clear" w:color="auto" w:fill="C0C0C0"/>
            <w:vAlign w:val="bottom"/>
          </w:tcPr>
          <w:p w14:paraId="524DA16D" w14:textId="79FE7B9E" w:rsidR="00001B1F" w:rsidRPr="003234C5" w:rsidRDefault="00C6257E" w:rsidP="00001B1F">
            <w:pPr>
              <w:spacing w:after="0"/>
              <w:jc w:val="center"/>
              <w:rPr>
                <w:rFonts w:ascii="Arial" w:hAnsi="Arial" w:cs="Arial"/>
                <w:b/>
                <w:bCs/>
                <w:color w:val="000000"/>
                <w:sz w:val="20"/>
                <w:szCs w:val="20"/>
              </w:rPr>
            </w:pPr>
            <w:r>
              <w:rPr>
                <w:rFonts w:ascii="Arial" w:hAnsi="Arial" w:cs="Arial"/>
                <w:b/>
                <w:bCs/>
                <w:color w:val="000000"/>
                <w:sz w:val="20"/>
                <w:szCs w:val="20"/>
              </w:rPr>
              <w:t>2018</w:t>
            </w:r>
          </w:p>
        </w:tc>
      </w:tr>
      <w:tr w:rsidR="00001B1F" w:rsidRPr="003234C5" w14:paraId="689A7CC9" w14:textId="77777777" w:rsidTr="009321CF">
        <w:trPr>
          <w:trHeight w:val="227"/>
          <w:jc w:val="center"/>
        </w:trPr>
        <w:tc>
          <w:tcPr>
            <w:tcW w:w="5425" w:type="dxa"/>
            <w:shd w:val="clear" w:color="auto" w:fill="FFFFFF"/>
          </w:tcPr>
          <w:p w14:paraId="5CFF463E" w14:textId="7ABF59C2" w:rsidR="00001B1F" w:rsidRPr="003234C5" w:rsidRDefault="00385D24" w:rsidP="00001B1F">
            <w:pPr>
              <w:spacing w:after="0"/>
              <w:jc w:val="both"/>
              <w:rPr>
                <w:rFonts w:ascii="Arial" w:hAnsi="Arial" w:cs="Arial"/>
                <w:sz w:val="20"/>
                <w:szCs w:val="20"/>
              </w:rPr>
            </w:pPr>
            <w:bookmarkStart w:id="22" w:name="_Hlk508413521"/>
            <w:r w:rsidRPr="00385D24">
              <w:rPr>
                <w:rFonts w:ascii="Arial" w:hAnsi="Arial" w:cs="Arial"/>
                <w:sz w:val="20"/>
                <w:szCs w:val="20"/>
              </w:rPr>
              <w:t>IRRF a efetivar sobre aplicações financeiras</w:t>
            </w:r>
          </w:p>
        </w:tc>
        <w:tc>
          <w:tcPr>
            <w:tcW w:w="1753" w:type="dxa"/>
            <w:shd w:val="clear" w:color="auto" w:fill="FFFFFF"/>
            <w:vAlign w:val="center"/>
          </w:tcPr>
          <w:p w14:paraId="48369C07" w14:textId="5D57F6A5" w:rsidR="00001B1F" w:rsidRPr="003234C5" w:rsidRDefault="00A14BA9" w:rsidP="00001B1F">
            <w:pPr>
              <w:spacing w:after="0"/>
              <w:jc w:val="right"/>
              <w:rPr>
                <w:rFonts w:ascii="Arial" w:hAnsi="Arial" w:cs="Arial"/>
                <w:sz w:val="20"/>
                <w:szCs w:val="20"/>
              </w:rPr>
            </w:pPr>
            <w:r>
              <w:rPr>
                <w:rFonts w:ascii="Arial" w:hAnsi="Arial" w:cs="Arial"/>
                <w:sz w:val="20"/>
                <w:szCs w:val="20"/>
              </w:rPr>
              <w:t>76</w:t>
            </w:r>
          </w:p>
        </w:tc>
        <w:tc>
          <w:tcPr>
            <w:tcW w:w="1753" w:type="dxa"/>
            <w:shd w:val="clear" w:color="auto" w:fill="FFFFFF"/>
            <w:vAlign w:val="center"/>
          </w:tcPr>
          <w:p w14:paraId="720C9AC5" w14:textId="50CE8AB4" w:rsidR="00001B1F" w:rsidRPr="003234C5" w:rsidRDefault="00001B1F" w:rsidP="00001B1F">
            <w:pPr>
              <w:spacing w:after="0"/>
              <w:jc w:val="right"/>
              <w:rPr>
                <w:rFonts w:ascii="Arial" w:hAnsi="Arial" w:cs="Arial"/>
                <w:sz w:val="20"/>
                <w:szCs w:val="20"/>
              </w:rPr>
            </w:pPr>
          </w:p>
        </w:tc>
      </w:tr>
      <w:tr w:rsidR="006A07D2" w:rsidRPr="003234C5" w14:paraId="33025CA3" w14:textId="77777777" w:rsidTr="009321CF">
        <w:trPr>
          <w:trHeight w:val="227"/>
          <w:jc w:val="center"/>
        </w:trPr>
        <w:tc>
          <w:tcPr>
            <w:tcW w:w="5425" w:type="dxa"/>
            <w:shd w:val="clear" w:color="auto" w:fill="FFFFFF"/>
          </w:tcPr>
          <w:p w14:paraId="5B75E97F" w14:textId="3E9C4251" w:rsidR="006A07D2" w:rsidRPr="003234C5" w:rsidRDefault="00672E87" w:rsidP="00001B1F">
            <w:pPr>
              <w:spacing w:after="0"/>
              <w:jc w:val="both"/>
              <w:rPr>
                <w:rFonts w:ascii="Arial" w:hAnsi="Arial" w:cs="Arial"/>
                <w:sz w:val="20"/>
                <w:szCs w:val="20"/>
              </w:rPr>
            </w:pPr>
            <w:r w:rsidRPr="003234C5">
              <w:rPr>
                <w:rFonts w:ascii="Arial" w:hAnsi="Arial" w:cs="Arial"/>
                <w:sz w:val="20"/>
                <w:szCs w:val="20"/>
              </w:rPr>
              <w:t>IRPJ Pago a Maior</w:t>
            </w:r>
          </w:p>
        </w:tc>
        <w:tc>
          <w:tcPr>
            <w:tcW w:w="1753" w:type="dxa"/>
            <w:shd w:val="clear" w:color="auto" w:fill="FFFFFF"/>
            <w:vAlign w:val="center"/>
          </w:tcPr>
          <w:p w14:paraId="558B8CD2" w14:textId="22D8CD5A" w:rsidR="006A07D2" w:rsidRDefault="00A14BA9" w:rsidP="00001B1F">
            <w:pPr>
              <w:spacing w:after="0"/>
              <w:jc w:val="right"/>
              <w:rPr>
                <w:rFonts w:ascii="Arial" w:hAnsi="Arial" w:cs="Arial"/>
                <w:sz w:val="20"/>
                <w:szCs w:val="20"/>
              </w:rPr>
            </w:pPr>
            <w:r>
              <w:rPr>
                <w:rFonts w:ascii="Arial" w:hAnsi="Arial" w:cs="Arial"/>
                <w:sz w:val="20"/>
                <w:szCs w:val="20"/>
              </w:rPr>
              <w:t>243</w:t>
            </w:r>
          </w:p>
        </w:tc>
        <w:tc>
          <w:tcPr>
            <w:tcW w:w="1753" w:type="dxa"/>
            <w:shd w:val="clear" w:color="auto" w:fill="FFFFFF"/>
            <w:vAlign w:val="center"/>
          </w:tcPr>
          <w:p w14:paraId="65A62C67" w14:textId="1EABF070" w:rsidR="006A07D2" w:rsidRPr="003234C5" w:rsidRDefault="00136FA8" w:rsidP="00001B1F">
            <w:pPr>
              <w:spacing w:after="0"/>
              <w:jc w:val="right"/>
              <w:rPr>
                <w:rFonts w:ascii="Arial" w:hAnsi="Arial" w:cs="Arial"/>
                <w:color w:val="000000"/>
                <w:sz w:val="20"/>
                <w:szCs w:val="20"/>
              </w:rPr>
            </w:pPr>
            <w:r>
              <w:rPr>
                <w:rFonts w:ascii="Arial" w:hAnsi="Arial" w:cs="Arial"/>
                <w:color w:val="000000"/>
                <w:sz w:val="20"/>
                <w:szCs w:val="20"/>
              </w:rPr>
              <w:t>1</w:t>
            </w:r>
          </w:p>
        </w:tc>
      </w:tr>
      <w:bookmarkEnd w:id="22"/>
      <w:tr w:rsidR="00491426" w:rsidRPr="003234C5" w14:paraId="5E4FCF19" w14:textId="77777777" w:rsidTr="009321CF">
        <w:trPr>
          <w:trHeight w:val="227"/>
          <w:jc w:val="center"/>
        </w:trPr>
        <w:tc>
          <w:tcPr>
            <w:tcW w:w="5425" w:type="dxa"/>
            <w:shd w:val="clear" w:color="auto" w:fill="auto"/>
            <w:vAlign w:val="center"/>
          </w:tcPr>
          <w:p w14:paraId="273EEB2F" w14:textId="2B7B742E" w:rsidR="00491426" w:rsidRPr="003234C5" w:rsidRDefault="00491426" w:rsidP="00491426">
            <w:pPr>
              <w:autoSpaceDE w:val="0"/>
              <w:autoSpaceDN w:val="0"/>
              <w:adjustRightInd w:val="0"/>
              <w:spacing w:after="0"/>
              <w:jc w:val="both"/>
              <w:rPr>
                <w:rFonts w:ascii="Arial" w:hAnsi="Arial" w:cs="Arial"/>
                <w:sz w:val="20"/>
                <w:szCs w:val="20"/>
              </w:rPr>
            </w:pPr>
            <w:r w:rsidRPr="003234C5">
              <w:rPr>
                <w:rFonts w:ascii="Arial" w:hAnsi="Arial" w:cs="Arial"/>
                <w:sz w:val="20"/>
                <w:szCs w:val="20"/>
              </w:rPr>
              <w:t>INSS (2)</w:t>
            </w:r>
          </w:p>
        </w:tc>
        <w:tc>
          <w:tcPr>
            <w:tcW w:w="1753" w:type="dxa"/>
            <w:shd w:val="clear" w:color="auto" w:fill="auto"/>
            <w:vAlign w:val="center"/>
          </w:tcPr>
          <w:p w14:paraId="33D120A0" w14:textId="12473787" w:rsidR="00491426" w:rsidRPr="003234C5" w:rsidRDefault="0026281B" w:rsidP="00491426">
            <w:pPr>
              <w:autoSpaceDE w:val="0"/>
              <w:autoSpaceDN w:val="0"/>
              <w:adjustRightInd w:val="0"/>
              <w:spacing w:after="0"/>
              <w:jc w:val="right"/>
              <w:rPr>
                <w:rFonts w:ascii="Arial" w:hAnsi="Arial" w:cs="Arial"/>
                <w:sz w:val="20"/>
                <w:szCs w:val="20"/>
              </w:rPr>
            </w:pPr>
            <w:r>
              <w:rPr>
                <w:rFonts w:ascii="Arial" w:hAnsi="Arial" w:cs="Arial"/>
                <w:sz w:val="20"/>
                <w:szCs w:val="20"/>
              </w:rPr>
              <w:t>137</w:t>
            </w:r>
          </w:p>
        </w:tc>
        <w:tc>
          <w:tcPr>
            <w:tcW w:w="1753" w:type="dxa"/>
            <w:shd w:val="clear" w:color="auto" w:fill="auto"/>
            <w:vAlign w:val="center"/>
          </w:tcPr>
          <w:p w14:paraId="78DD5697" w14:textId="2B8311C4" w:rsidR="00491426" w:rsidRPr="003234C5" w:rsidRDefault="00491426" w:rsidP="00491426">
            <w:pPr>
              <w:autoSpaceDE w:val="0"/>
              <w:autoSpaceDN w:val="0"/>
              <w:adjustRightInd w:val="0"/>
              <w:spacing w:after="0"/>
              <w:jc w:val="right"/>
              <w:rPr>
                <w:rFonts w:ascii="Arial" w:hAnsi="Arial" w:cs="Arial"/>
                <w:bCs/>
                <w:color w:val="000000"/>
                <w:sz w:val="20"/>
                <w:szCs w:val="20"/>
              </w:rPr>
            </w:pPr>
            <w:r w:rsidRPr="003234C5">
              <w:rPr>
                <w:rFonts w:ascii="Arial" w:hAnsi="Arial" w:cs="Arial"/>
                <w:color w:val="000000"/>
                <w:sz w:val="20"/>
                <w:szCs w:val="20"/>
              </w:rPr>
              <w:t>137</w:t>
            </w:r>
          </w:p>
        </w:tc>
      </w:tr>
      <w:tr w:rsidR="00491426" w:rsidRPr="003234C5" w14:paraId="79F318AC" w14:textId="77777777" w:rsidTr="009321CF">
        <w:trPr>
          <w:trHeight w:val="227"/>
          <w:jc w:val="center"/>
        </w:trPr>
        <w:tc>
          <w:tcPr>
            <w:tcW w:w="5425" w:type="dxa"/>
            <w:shd w:val="clear" w:color="auto" w:fill="auto"/>
            <w:vAlign w:val="center"/>
          </w:tcPr>
          <w:p w14:paraId="2BD07E98" w14:textId="74341F14" w:rsidR="00491426" w:rsidRPr="003234C5" w:rsidRDefault="00491426" w:rsidP="00491426">
            <w:pPr>
              <w:autoSpaceDE w:val="0"/>
              <w:autoSpaceDN w:val="0"/>
              <w:adjustRightInd w:val="0"/>
              <w:spacing w:after="0"/>
              <w:jc w:val="both"/>
              <w:rPr>
                <w:rFonts w:ascii="Arial" w:hAnsi="Arial" w:cs="Arial"/>
                <w:sz w:val="20"/>
                <w:szCs w:val="20"/>
              </w:rPr>
            </w:pPr>
            <w:r w:rsidRPr="003234C5">
              <w:rPr>
                <w:rFonts w:ascii="Arial" w:hAnsi="Arial" w:cs="Arial"/>
                <w:sz w:val="20"/>
                <w:szCs w:val="20"/>
              </w:rPr>
              <w:t>PIS e COFINS</w:t>
            </w:r>
            <w:r w:rsidR="007336C9">
              <w:rPr>
                <w:rFonts w:ascii="Arial" w:hAnsi="Arial" w:cs="Arial"/>
                <w:sz w:val="20"/>
                <w:szCs w:val="20"/>
              </w:rPr>
              <w:t xml:space="preserve"> </w:t>
            </w:r>
            <w:r w:rsidRPr="003234C5">
              <w:rPr>
                <w:rFonts w:ascii="Arial" w:hAnsi="Arial" w:cs="Arial"/>
                <w:sz w:val="20"/>
                <w:szCs w:val="20"/>
              </w:rPr>
              <w:t xml:space="preserve">- Arrendamento </w:t>
            </w:r>
            <w:r w:rsidR="003551FD">
              <w:rPr>
                <w:rFonts w:ascii="Arial" w:hAnsi="Arial" w:cs="Arial"/>
                <w:sz w:val="20"/>
                <w:szCs w:val="20"/>
              </w:rPr>
              <w:t xml:space="preserve">IRFS </w:t>
            </w:r>
            <w:r w:rsidR="007336C9">
              <w:rPr>
                <w:rFonts w:ascii="Arial" w:hAnsi="Arial" w:cs="Arial"/>
                <w:sz w:val="20"/>
                <w:szCs w:val="20"/>
              </w:rPr>
              <w:t xml:space="preserve">16 (CPC 06) </w:t>
            </w:r>
            <w:r w:rsidRPr="003234C5">
              <w:rPr>
                <w:rFonts w:ascii="Arial" w:hAnsi="Arial" w:cs="Arial"/>
                <w:sz w:val="20"/>
                <w:szCs w:val="20"/>
              </w:rPr>
              <w:t>(3)</w:t>
            </w:r>
          </w:p>
        </w:tc>
        <w:tc>
          <w:tcPr>
            <w:tcW w:w="1753" w:type="dxa"/>
            <w:shd w:val="clear" w:color="auto" w:fill="auto"/>
            <w:vAlign w:val="center"/>
          </w:tcPr>
          <w:p w14:paraId="78955539" w14:textId="2A013EC5" w:rsidR="00491426" w:rsidRPr="00FD3AF8" w:rsidRDefault="0026281B" w:rsidP="00491426">
            <w:pPr>
              <w:autoSpaceDE w:val="0"/>
              <w:autoSpaceDN w:val="0"/>
              <w:adjustRightInd w:val="0"/>
              <w:spacing w:after="0"/>
              <w:jc w:val="right"/>
              <w:rPr>
                <w:rFonts w:ascii="Arial" w:hAnsi="Arial" w:cs="Arial"/>
                <w:bCs/>
                <w:sz w:val="20"/>
                <w:szCs w:val="20"/>
              </w:rPr>
            </w:pPr>
            <w:r w:rsidRPr="00FD3AF8">
              <w:rPr>
                <w:rFonts w:ascii="Arial" w:hAnsi="Arial" w:cs="Arial"/>
                <w:bCs/>
                <w:sz w:val="20"/>
                <w:szCs w:val="20"/>
              </w:rPr>
              <w:t>1.656</w:t>
            </w:r>
          </w:p>
        </w:tc>
        <w:tc>
          <w:tcPr>
            <w:tcW w:w="1753" w:type="dxa"/>
            <w:shd w:val="clear" w:color="auto" w:fill="auto"/>
            <w:vAlign w:val="center"/>
          </w:tcPr>
          <w:p w14:paraId="13F35AE7" w14:textId="6B6D5C57" w:rsidR="00491426" w:rsidRPr="003234C5" w:rsidRDefault="00491426" w:rsidP="00491426">
            <w:pPr>
              <w:autoSpaceDE w:val="0"/>
              <w:autoSpaceDN w:val="0"/>
              <w:adjustRightInd w:val="0"/>
              <w:spacing w:after="0"/>
              <w:jc w:val="right"/>
              <w:rPr>
                <w:rFonts w:ascii="Arial" w:hAnsi="Arial" w:cs="Arial"/>
                <w:b/>
                <w:bCs/>
                <w:color w:val="000000"/>
                <w:sz w:val="20"/>
                <w:szCs w:val="20"/>
              </w:rPr>
            </w:pPr>
            <w:r w:rsidRPr="003234C5">
              <w:rPr>
                <w:rFonts w:ascii="Arial" w:hAnsi="Arial" w:cs="Arial"/>
                <w:color w:val="000000"/>
                <w:sz w:val="20"/>
                <w:szCs w:val="20"/>
              </w:rPr>
              <w:t>-</w:t>
            </w:r>
          </w:p>
        </w:tc>
      </w:tr>
      <w:tr w:rsidR="00001B1F" w:rsidRPr="003234C5" w14:paraId="012ACDA0" w14:textId="77777777" w:rsidTr="009321CF">
        <w:trPr>
          <w:trHeight w:val="227"/>
          <w:jc w:val="center"/>
        </w:trPr>
        <w:tc>
          <w:tcPr>
            <w:tcW w:w="5425" w:type="dxa"/>
            <w:shd w:val="clear" w:color="auto" w:fill="C0C0C0"/>
            <w:vAlign w:val="center"/>
          </w:tcPr>
          <w:p w14:paraId="113CB3DB" w14:textId="77777777" w:rsidR="00001B1F" w:rsidRPr="003234C5" w:rsidRDefault="00001B1F" w:rsidP="00001B1F">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 CIRCULANTE</w:t>
            </w:r>
          </w:p>
        </w:tc>
        <w:tc>
          <w:tcPr>
            <w:tcW w:w="1753" w:type="dxa"/>
            <w:shd w:val="clear" w:color="auto" w:fill="C0C0C0"/>
            <w:vAlign w:val="center"/>
          </w:tcPr>
          <w:p w14:paraId="60CC9AA5" w14:textId="5ECD2F33" w:rsidR="00001B1F" w:rsidRPr="003234C5" w:rsidRDefault="00FD3AF8" w:rsidP="00001B1F">
            <w:pPr>
              <w:autoSpaceDE w:val="0"/>
              <w:autoSpaceDN w:val="0"/>
              <w:adjustRightInd w:val="0"/>
              <w:spacing w:after="0"/>
              <w:jc w:val="right"/>
              <w:rPr>
                <w:rFonts w:ascii="Arial" w:hAnsi="Arial" w:cs="Arial"/>
                <w:b/>
                <w:sz w:val="20"/>
                <w:szCs w:val="20"/>
              </w:rPr>
            </w:pPr>
            <w:r>
              <w:rPr>
                <w:rFonts w:ascii="Arial" w:hAnsi="Arial" w:cs="Arial"/>
                <w:b/>
                <w:sz w:val="20"/>
                <w:szCs w:val="20"/>
              </w:rPr>
              <w:t>2.</w:t>
            </w:r>
            <w:r w:rsidR="00F00317">
              <w:rPr>
                <w:rFonts w:ascii="Arial" w:hAnsi="Arial" w:cs="Arial"/>
                <w:b/>
                <w:sz w:val="20"/>
                <w:szCs w:val="20"/>
              </w:rPr>
              <w:t>112</w:t>
            </w:r>
          </w:p>
        </w:tc>
        <w:tc>
          <w:tcPr>
            <w:tcW w:w="1753" w:type="dxa"/>
            <w:shd w:val="clear" w:color="auto" w:fill="C0C0C0"/>
            <w:vAlign w:val="center"/>
          </w:tcPr>
          <w:p w14:paraId="24558DBA" w14:textId="3A80A6A3" w:rsidR="00001B1F" w:rsidRPr="003234C5" w:rsidRDefault="00001B1F" w:rsidP="00001B1F">
            <w:pPr>
              <w:autoSpaceDE w:val="0"/>
              <w:autoSpaceDN w:val="0"/>
              <w:adjustRightInd w:val="0"/>
              <w:spacing w:after="0"/>
              <w:jc w:val="right"/>
              <w:rPr>
                <w:rFonts w:ascii="Arial" w:hAnsi="Arial" w:cs="Arial"/>
                <w:b/>
                <w:sz w:val="20"/>
                <w:szCs w:val="20"/>
              </w:rPr>
            </w:pPr>
            <w:r w:rsidRPr="003234C5">
              <w:rPr>
                <w:rFonts w:ascii="Arial" w:hAnsi="Arial" w:cs="Arial"/>
                <w:b/>
                <w:bCs/>
                <w:color w:val="000000"/>
                <w:sz w:val="20"/>
                <w:szCs w:val="20"/>
              </w:rPr>
              <w:t>138</w:t>
            </w:r>
          </w:p>
        </w:tc>
      </w:tr>
    </w:tbl>
    <w:p w14:paraId="621F1750" w14:textId="77777777" w:rsidR="00200682" w:rsidRPr="003234C5" w:rsidRDefault="00200682" w:rsidP="00200682">
      <w:pPr>
        <w:autoSpaceDE w:val="0"/>
        <w:autoSpaceDN w:val="0"/>
        <w:adjustRightInd w:val="0"/>
        <w:spacing w:after="0"/>
        <w:jc w:val="both"/>
        <w:rPr>
          <w:rFonts w:ascii="Arial" w:hAnsi="Arial" w:cs="Arial"/>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1"/>
        <w:gridCol w:w="1775"/>
        <w:gridCol w:w="1775"/>
      </w:tblGrid>
      <w:tr w:rsidR="00001B1F" w:rsidRPr="003234C5" w14:paraId="7474726B" w14:textId="77777777" w:rsidTr="009321CF">
        <w:trPr>
          <w:trHeight w:val="227"/>
          <w:jc w:val="center"/>
        </w:trPr>
        <w:tc>
          <w:tcPr>
            <w:tcW w:w="5381" w:type="dxa"/>
            <w:shd w:val="clear" w:color="auto" w:fill="C0C0C0"/>
            <w:vAlign w:val="center"/>
          </w:tcPr>
          <w:p w14:paraId="5DCE4E00" w14:textId="77777777" w:rsidR="00001B1F" w:rsidRPr="003234C5" w:rsidRDefault="00001B1F" w:rsidP="00001B1F">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NÃO CIRCULANTE</w:t>
            </w:r>
          </w:p>
        </w:tc>
        <w:tc>
          <w:tcPr>
            <w:tcW w:w="1775" w:type="dxa"/>
            <w:shd w:val="clear" w:color="auto" w:fill="C0C0C0"/>
            <w:vAlign w:val="bottom"/>
          </w:tcPr>
          <w:p w14:paraId="4E93378E" w14:textId="7B86A006" w:rsidR="00001B1F" w:rsidRPr="003234C5" w:rsidRDefault="00C6257E" w:rsidP="00001B1F">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775" w:type="dxa"/>
            <w:shd w:val="clear" w:color="auto" w:fill="C0C0C0"/>
            <w:vAlign w:val="bottom"/>
          </w:tcPr>
          <w:p w14:paraId="00C72F76" w14:textId="590A02F3" w:rsidR="00001B1F" w:rsidRPr="003234C5" w:rsidRDefault="00C6257E" w:rsidP="00001B1F">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491426" w:rsidRPr="003234C5" w14:paraId="67BFD134" w14:textId="77777777" w:rsidTr="009321CF">
        <w:trPr>
          <w:trHeight w:val="227"/>
          <w:jc w:val="center"/>
        </w:trPr>
        <w:tc>
          <w:tcPr>
            <w:tcW w:w="5381" w:type="dxa"/>
            <w:shd w:val="clear" w:color="auto" w:fill="FFFFFF"/>
          </w:tcPr>
          <w:p w14:paraId="325667B0" w14:textId="28C0872F"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IRPJ e CSLL Diferido</w:t>
            </w:r>
            <w:r w:rsidR="00EC66B3">
              <w:rPr>
                <w:rFonts w:ascii="Arial" w:hAnsi="Arial" w:cs="Arial"/>
                <w:sz w:val="20"/>
                <w:szCs w:val="20"/>
              </w:rPr>
              <w:t>s</w:t>
            </w:r>
            <w:r w:rsidRPr="003234C5">
              <w:rPr>
                <w:rFonts w:ascii="Arial" w:hAnsi="Arial" w:cs="Arial"/>
                <w:sz w:val="20"/>
                <w:szCs w:val="20"/>
              </w:rPr>
              <w:t xml:space="preserve"> (1)</w:t>
            </w:r>
          </w:p>
        </w:tc>
        <w:tc>
          <w:tcPr>
            <w:tcW w:w="1775" w:type="dxa"/>
            <w:shd w:val="clear" w:color="auto" w:fill="FFFFFF"/>
            <w:vAlign w:val="center"/>
          </w:tcPr>
          <w:p w14:paraId="37D490D9" w14:textId="2A9AF52B" w:rsidR="00491426" w:rsidRPr="003234C5" w:rsidRDefault="003F604D" w:rsidP="00491426">
            <w:pPr>
              <w:spacing w:after="0"/>
              <w:jc w:val="right"/>
              <w:rPr>
                <w:rFonts w:ascii="Arial" w:hAnsi="Arial" w:cs="Arial"/>
                <w:sz w:val="20"/>
                <w:szCs w:val="20"/>
              </w:rPr>
            </w:pPr>
            <w:r>
              <w:rPr>
                <w:rFonts w:ascii="Arial" w:hAnsi="Arial" w:cs="Arial"/>
                <w:sz w:val="20"/>
                <w:szCs w:val="20"/>
              </w:rPr>
              <w:t>16.069</w:t>
            </w:r>
          </w:p>
        </w:tc>
        <w:tc>
          <w:tcPr>
            <w:tcW w:w="1775" w:type="dxa"/>
            <w:shd w:val="clear" w:color="auto" w:fill="FFFFFF"/>
            <w:vAlign w:val="center"/>
          </w:tcPr>
          <w:p w14:paraId="70C59A5D" w14:textId="7B2DABA5"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14.534</w:t>
            </w:r>
          </w:p>
        </w:tc>
      </w:tr>
      <w:tr w:rsidR="00491426" w:rsidRPr="003234C5" w14:paraId="349876CC" w14:textId="77777777" w:rsidTr="009321CF">
        <w:trPr>
          <w:trHeight w:val="227"/>
          <w:jc w:val="center"/>
        </w:trPr>
        <w:tc>
          <w:tcPr>
            <w:tcW w:w="5381" w:type="dxa"/>
            <w:shd w:val="clear" w:color="auto" w:fill="C0C0C0"/>
            <w:vAlign w:val="center"/>
          </w:tcPr>
          <w:p w14:paraId="44C995A0" w14:textId="77777777" w:rsidR="00491426" w:rsidRPr="003234C5" w:rsidRDefault="00491426" w:rsidP="00491426">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 NÃO CIRCULANTE</w:t>
            </w:r>
          </w:p>
        </w:tc>
        <w:tc>
          <w:tcPr>
            <w:tcW w:w="1775" w:type="dxa"/>
            <w:shd w:val="clear" w:color="auto" w:fill="C0C0C0"/>
            <w:vAlign w:val="center"/>
          </w:tcPr>
          <w:p w14:paraId="047DFDE2" w14:textId="40B53402" w:rsidR="00491426" w:rsidRPr="003234C5" w:rsidRDefault="003F604D" w:rsidP="00491426">
            <w:pPr>
              <w:autoSpaceDE w:val="0"/>
              <w:autoSpaceDN w:val="0"/>
              <w:adjustRightInd w:val="0"/>
              <w:spacing w:after="0"/>
              <w:jc w:val="right"/>
              <w:rPr>
                <w:rFonts w:ascii="Arial" w:hAnsi="Arial" w:cs="Arial"/>
                <w:b/>
                <w:sz w:val="20"/>
                <w:szCs w:val="20"/>
              </w:rPr>
            </w:pPr>
            <w:r>
              <w:rPr>
                <w:rFonts w:ascii="Arial" w:hAnsi="Arial" w:cs="Arial"/>
                <w:b/>
                <w:sz w:val="20"/>
                <w:szCs w:val="20"/>
              </w:rPr>
              <w:t>16.069</w:t>
            </w:r>
          </w:p>
        </w:tc>
        <w:tc>
          <w:tcPr>
            <w:tcW w:w="1775" w:type="dxa"/>
            <w:shd w:val="clear" w:color="auto" w:fill="C0C0C0"/>
            <w:vAlign w:val="center"/>
          </w:tcPr>
          <w:p w14:paraId="70818A03" w14:textId="12B5EB65" w:rsidR="00491426" w:rsidRPr="003234C5" w:rsidRDefault="00491426" w:rsidP="00491426">
            <w:pPr>
              <w:autoSpaceDE w:val="0"/>
              <w:autoSpaceDN w:val="0"/>
              <w:adjustRightInd w:val="0"/>
              <w:spacing w:after="0"/>
              <w:jc w:val="right"/>
              <w:rPr>
                <w:rFonts w:ascii="Arial" w:hAnsi="Arial" w:cs="Arial"/>
                <w:b/>
                <w:sz w:val="20"/>
                <w:szCs w:val="20"/>
              </w:rPr>
            </w:pPr>
            <w:r w:rsidRPr="003234C5">
              <w:rPr>
                <w:rFonts w:ascii="Arial" w:hAnsi="Arial" w:cs="Arial"/>
                <w:b/>
                <w:bCs/>
                <w:color w:val="000000"/>
                <w:sz w:val="20"/>
                <w:szCs w:val="20"/>
              </w:rPr>
              <w:t>14.534</w:t>
            </w:r>
          </w:p>
        </w:tc>
      </w:tr>
    </w:tbl>
    <w:p w14:paraId="57F871A0" w14:textId="77777777" w:rsidR="006E72BE" w:rsidRPr="003234C5" w:rsidRDefault="006E72BE" w:rsidP="00696768">
      <w:pPr>
        <w:jc w:val="both"/>
        <w:rPr>
          <w:rFonts w:ascii="Arial" w:hAnsi="Arial" w:cs="Arial"/>
        </w:rPr>
      </w:pPr>
    </w:p>
    <w:p w14:paraId="64483B8A" w14:textId="246BD5DE" w:rsidR="00200682" w:rsidRPr="003234C5" w:rsidRDefault="00200682" w:rsidP="00696768">
      <w:pPr>
        <w:jc w:val="both"/>
        <w:rPr>
          <w:rFonts w:ascii="Arial" w:hAnsi="Arial" w:cs="Arial"/>
        </w:rPr>
      </w:pPr>
      <w:r w:rsidRPr="003234C5">
        <w:rPr>
          <w:rFonts w:ascii="Arial" w:hAnsi="Arial" w:cs="Arial"/>
        </w:rPr>
        <w:t>(</w:t>
      </w:r>
      <w:r w:rsidR="000767CA" w:rsidRPr="003234C5">
        <w:rPr>
          <w:rFonts w:ascii="Arial" w:hAnsi="Arial" w:cs="Arial"/>
        </w:rPr>
        <w:t>1</w:t>
      </w:r>
      <w:r w:rsidRPr="003234C5">
        <w:rPr>
          <w:rFonts w:ascii="Arial" w:hAnsi="Arial" w:cs="Arial"/>
        </w:rPr>
        <w:t xml:space="preserve">) O IRPJ e CSLL Diferidos referem-se à constituição de ativo fiscal oriundo de diferenças temporárias dedutíveis, apurados com base nos passivos contingentes conforme determina a NBC TG 32 (R3) – Tributos sobre o lucro. </w:t>
      </w:r>
    </w:p>
    <w:p w14:paraId="7C3273C4" w14:textId="3074D0F2" w:rsidR="00C342D9" w:rsidRPr="003234C5" w:rsidRDefault="00C342D9" w:rsidP="00696768">
      <w:pPr>
        <w:jc w:val="both"/>
        <w:rPr>
          <w:rFonts w:ascii="Arial" w:hAnsi="Arial" w:cs="Arial"/>
        </w:rPr>
      </w:pPr>
      <w:r w:rsidRPr="00AA7904">
        <w:rPr>
          <w:rFonts w:ascii="Arial" w:hAnsi="Arial" w:cs="Arial"/>
        </w:rPr>
        <w:lastRenderedPageBreak/>
        <w:t>(</w:t>
      </w:r>
      <w:r w:rsidR="000767CA" w:rsidRPr="00AA7904">
        <w:rPr>
          <w:rFonts w:ascii="Arial" w:hAnsi="Arial" w:cs="Arial"/>
        </w:rPr>
        <w:t>2</w:t>
      </w:r>
      <w:r w:rsidRPr="00AA7904">
        <w:rPr>
          <w:rFonts w:ascii="Arial" w:hAnsi="Arial" w:cs="Arial"/>
        </w:rPr>
        <w:t xml:space="preserve">) </w:t>
      </w:r>
      <w:r w:rsidR="008F2CA3" w:rsidRPr="00AA7904">
        <w:rPr>
          <w:rFonts w:ascii="Arial" w:hAnsi="Arial" w:cs="Arial"/>
        </w:rPr>
        <w:t xml:space="preserve">A </w:t>
      </w:r>
      <w:r w:rsidR="00F71A6C" w:rsidRPr="00AA7904">
        <w:rPr>
          <w:rFonts w:ascii="Arial" w:hAnsi="Arial" w:cs="Arial"/>
        </w:rPr>
        <w:t>CEGÁS</w:t>
      </w:r>
      <w:r w:rsidR="008F2CA3" w:rsidRPr="00AA7904">
        <w:rPr>
          <w:rFonts w:ascii="Arial" w:hAnsi="Arial" w:cs="Arial"/>
        </w:rPr>
        <w:t xml:space="preserve">, autora de </w:t>
      </w:r>
      <w:r w:rsidR="00EB5508" w:rsidRPr="00AA7904">
        <w:rPr>
          <w:rFonts w:ascii="Arial" w:hAnsi="Arial" w:cs="Arial"/>
        </w:rPr>
        <w:t>uma causa</w:t>
      </w:r>
      <w:r w:rsidR="008F2CA3" w:rsidRPr="00AA7904">
        <w:rPr>
          <w:rFonts w:ascii="Arial" w:hAnsi="Arial" w:cs="Arial"/>
        </w:rPr>
        <w:t xml:space="preserve"> junto ao Instituto Nacional do Seguro Social – INSS, foi vitoriosa </w:t>
      </w:r>
      <w:r w:rsidR="00EB5508" w:rsidRPr="00AA7904">
        <w:rPr>
          <w:rFonts w:ascii="Arial" w:hAnsi="Arial" w:cs="Arial"/>
        </w:rPr>
        <w:t>no</w:t>
      </w:r>
      <w:r w:rsidR="008F2CA3" w:rsidRPr="00AA7904">
        <w:rPr>
          <w:rFonts w:ascii="Arial" w:hAnsi="Arial" w:cs="Arial"/>
        </w:rPr>
        <w:t xml:space="preserve"> processo onde houve o pleito da compensação de contribuições previdenciárias sobre a remuneração paga a diretores não empregados. </w:t>
      </w:r>
      <w:r w:rsidR="00EB5508" w:rsidRPr="00AA7904">
        <w:rPr>
          <w:rFonts w:ascii="Arial" w:hAnsi="Arial" w:cs="Arial"/>
        </w:rPr>
        <w:t>Em 31 de dezembro de 2018</w:t>
      </w:r>
      <w:r w:rsidR="008F2CA3" w:rsidRPr="00AA7904">
        <w:rPr>
          <w:rFonts w:ascii="Arial" w:hAnsi="Arial" w:cs="Arial"/>
        </w:rPr>
        <w:t xml:space="preserve"> </w:t>
      </w:r>
      <w:r w:rsidR="00EB5508" w:rsidRPr="00AA7904">
        <w:rPr>
          <w:rFonts w:ascii="Arial" w:hAnsi="Arial" w:cs="Arial"/>
        </w:rPr>
        <w:t xml:space="preserve">a Companhia </w:t>
      </w:r>
      <w:r w:rsidR="008F2CA3" w:rsidRPr="00AA7904">
        <w:rPr>
          <w:rFonts w:ascii="Arial" w:hAnsi="Arial" w:cs="Arial"/>
        </w:rPr>
        <w:t>reconheceu</w:t>
      </w:r>
      <w:r w:rsidR="00EB5508" w:rsidRPr="00AA7904">
        <w:rPr>
          <w:rFonts w:ascii="Arial" w:hAnsi="Arial" w:cs="Arial"/>
        </w:rPr>
        <w:t xml:space="preserve"> </w:t>
      </w:r>
      <w:r w:rsidR="008F2CA3" w:rsidRPr="00AA7904">
        <w:rPr>
          <w:rFonts w:ascii="Arial" w:hAnsi="Arial" w:cs="Arial"/>
        </w:rPr>
        <w:t>o ativo assim como a atualização do crédito</w:t>
      </w:r>
      <w:r w:rsidR="00EB5508" w:rsidRPr="00AA7904">
        <w:rPr>
          <w:rFonts w:ascii="Arial" w:hAnsi="Arial" w:cs="Arial"/>
        </w:rPr>
        <w:t>, conforme a decisão judicial e os ditames legais.</w:t>
      </w:r>
      <w:r w:rsidR="00110EE9" w:rsidRPr="00AA7904">
        <w:rPr>
          <w:rFonts w:ascii="Arial" w:hAnsi="Arial" w:cs="Arial"/>
        </w:rPr>
        <w:t xml:space="preserve"> A Companhia está aguardando a habilitação do crédito</w:t>
      </w:r>
      <w:r w:rsidR="003D3675" w:rsidRPr="00AA7904">
        <w:rPr>
          <w:rFonts w:ascii="Arial" w:hAnsi="Arial" w:cs="Arial"/>
        </w:rPr>
        <w:t xml:space="preserve">, junto a Receita Federal do Brasil, </w:t>
      </w:r>
      <w:r w:rsidR="001E7BA8" w:rsidRPr="00AA7904">
        <w:rPr>
          <w:rFonts w:ascii="Arial" w:hAnsi="Arial" w:cs="Arial"/>
        </w:rPr>
        <w:t>para realizar a devida compensação.</w:t>
      </w:r>
    </w:p>
    <w:p w14:paraId="205DA992" w14:textId="0453DDF0" w:rsidR="00374BAE" w:rsidRPr="003234C5" w:rsidRDefault="00001B1F" w:rsidP="00696768">
      <w:pPr>
        <w:jc w:val="both"/>
        <w:rPr>
          <w:rFonts w:ascii="Arial" w:hAnsi="Arial" w:cs="Arial"/>
        </w:rPr>
      </w:pPr>
      <w:r w:rsidRPr="003234C5">
        <w:rPr>
          <w:rFonts w:ascii="Arial" w:hAnsi="Arial" w:cs="Arial"/>
        </w:rPr>
        <w:t xml:space="preserve">(3) </w:t>
      </w:r>
      <w:r w:rsidR="00584478" w:rsidRPr="003234C5">
        <w:rPr>
          <w:rFonts w:ascii="Arial" w:hAnsi="Arial" w:cs="Arial"/>
        </w:rPr>
        <w:t>A Companhia realizou o reconhecimento do arrendamento da Sede conforme descrito na</w:t>
      </w:r>
      <w:r w:rsidR="00DE13DE" w:rsidRPr="003234C5">
        <w:rPr>
          <w:rFonts w:ascii="Arial" w:hAnsi="Arial" w:cs="Arial"/>
        </w:rPr>
        <w:t>s</w:t>
      </w:r>
      <w:r w:rsidR="00584478" w:rsidRPr="003234C5">
        <w:rPr>
          <w:rFonts w:ascii="Arial" w:hAnsi="Arial" w:cs="Arial"/>
        </w:rPr>
        <w:t xml:space="preserve"> </w:t>
      </w:r>
      <w:r w:rsidR="00584478" w:rsidRPr="00312C75">
        <w:rPr>
          <w:rFonts w:ascii="Arial" w:hAnsi="Arial" w:cs="Arial"/>
        </w:rPr>
        <w:t>Nota</w:t>
      </w:r>
      <w:r w:rsidR="00DE13DE" w:rsidRPr="00312C75">
        <w:rPr>
          <w:rFonts w:ascii="Arial" w:hAnsi="Arial" w:cs="Arial"/>
        </w:rPr>
        <w:t>s</w:t>
      </w:r>
      <w:r w:rsidR="00584478" w:rsidRPr="00312C75">
        <w:rPr>
          <w:rFonts w:ascii="Arial" w:hAnsi="Arial" w:cs="Arial"/>
        </w:rPr>
        <w:t xml:space="preserve"> </w:t>
      </w:r>
      <w:r w:rsidR="000643C6" w:rsidRPr="00312C75">
        <w:rPr>
          <w:rFonts w:ascii="Arial" w:hAnsi="Arial" w:cs="Arial"/>
        </w:rPr>
        <w:t>5</w:t>
      </w:r>
      <w:r w:rsidR="00DE13DE" w:rsidRPr="00312C75">
        <w:rPr>
          <w:rFonts w:ascii="Arial" w:hAnsi="Arial" w:cs="Arial"/>
        </w:rPr>
        <w:t xml:space="preserve"> e 1</w:t>
      </w:r>
      <w:r w:rsidR="000643C6" w:rsidRPr="00312C75">
        <w:rPr>
          <w:rFonts w:ascii="Arial" w:hAnsi="Arial" w:cs="Arial"/>
        </w:rPr>
        <w:t>7</w:t>
      </w:r>
      <w:r w:rsidR="00584478" w:rsidRPr="003234C5">
        <w:rPr>
          <w:rFonts w:ascii="Arial" w:hAnsi="Arial" w:cs="Arial"/>
        </w:rPr>
        <w:t xml:space="preserve"> </w:t>
      </w:r>
      <w:r w:rsidR="00F77F2B" w:rsidRPr="003234C5">
        <w:rPr>
          <w:rFonts w:ascii="Arial" w:hAnsi="Arial" w:cs="Arial"/>
        </w:rPr>
        <w:t>e contabilizou o crédito de PIS e COFINS até o final do contrato</w:t>
      </w:r>
      <w:r w:rsidR="00DE13DE" w:rsidRPr="003234C5">
        <w:rPr>
          <w:rFonts w:ascii="Arial" w:hAnsi="Arial" w:cs="Arial"/>
        </w:rPr>
        <w:t xml:space="preserve"> em contrapartida ao lançamento do arrendamento no Ativo </w:t>
      </w:r>
      <w:r w:rsidR="00C56063">
        <w:rPr>
          <w:rFonts w:ascii="Arial" w:hAnsi="Arial" w:cs="Arial"/>
        </w:rPr>
        <w:t>Imobilizado</w:t>
      </w:r>
      <w:r w:rsidR="00DE13DE" w:rsidRPr="003234C5">
        <w:rPr>
          <w:rFonts w:ascii="Arial" w:hAnsi="Arial" w:cs="Arial"/>
        </w:rPr>
        <w:t>, estando este último líquido.</w:t>
      </w:r>
      <w:r w:rsidR="0036184C">
        <w:rPr>
          <w:rFonts w:ascii="Arial" w:hAnsi="Arial" w:cs="Arial"/>
        </w:rPr>
        <w:t xml:space="preserve"> </w:t>
      </w:r>
    </w:p>
    <w:p w14:paraId="05A6E085" w14:textId="5954F308" w:rsidR="00200682" w:rsidRPr="003234C5" w:rsidRDefault="00200682" w:rsidP="003751B0">
      <w:pPr>
        <w:widowControl w:val="0"/>
        <w:spacing w:before="240"/>
        <w:jc w:val="both"/>
        <w:rPr>
          <w:rFonts w:ascii="Arial" w:hAnsi="Arial" w:cs="Arial"/>
          <w:b/>
        </w:rPr>
      </w:pPr>
      <w:r w:rsidRPr="003234C5">
        <w:rPr>
          <w:rFonts w:ascii="Arial" w:hAnsi="Arial" w:cs="Arial"/>
          <w:b/>
        </w:rPr>
        <w:t>NOTA 1</w:t>
      </w:r>
      <w:r w:rsidR="00176863" w:rsidRPr="003234C5">
        <w:rPr>
          <w:rFonts w:ascii="Arial" w:hAnsi="Arial" w:cs="Arial"/>
          <w:b/>
        </w:rPr>
        <w:t>3</w:t>
      </w:r>
      <w:r w:rsidRPr="003234C5">
        <w:rPr>
          <w:rFonts w:ascii="Arial" w:hAnsi="Arial" w:cs="Arial"/>
          <w:b/>
        </w:rPr>
        <w:t>. CRÉDITOS</w:t>
      </w:r>
      <w:r w:rsidR="00351159" w:rsidRPr="003234C5">
        <w:rPr>
          <w:rFonts w:ascii="Arial" w:hAnsi="Arial" w:cs="Arial"/>
          <w:b/>
        </w:rPr>
        <w:t xml:space="preserve"> </w:t>
      </w:r>
      <w:r w:rsidRPr="003234C5">
        <w:rPr>
          <w:rFonts w:ascii="Arial" w:hAnsi="Arial" w:cs="Arial"/>
          <w:b/>
        </w:rPr>
        <w:t>NAS OPERAÇÕES DE VENDA E AQUISIÇÃO DE GÁS</w:t>
      </w:r>
    </w:p>
    <w:p w14:paraId="7B7ECE0E" w14:textId="08B7D77F" w:rsidR="00E87A86" w:rsidRPr="003234C5" w:rsidRDefault="00E87A86" w:rsidP="00E87A86">
      <w:pPr>
        <w:autoSpaceDE w:val="0"/>
        <w:autoSpaceDN w:val="0"/>
        <w:adjustRightInd w:val="0"/>
        <w:spacing w:after="120"/>
        <w:jc w:val="both"/>
        <w:rPr>
          <w:rFonts w:ascii="Arial" w:hAnsi="Arial" w:cs="Arial"/>
        </w:rPr>
      </w:pPr>
      <w:r w:rsidRPr="003234C5">
        <w:rPr>
          <w:rFonts w:ascii="Arial" w:hAnsi="Arial" w:cs="Arial"/>
        </w:rPr>
        <w:t xml:space="preserve">Os valores registrados nas contas Créditos nas </w:t>
      </w:r>
      <w:r w:rsidR="000A43A2">
        <w:rPr>
          <w:rFonts w:ascii="Arial" w:hAnsi="Arial" w:cs="Arial"/>
        </w:rPr>
        <w:t>O</w:t>
      </w:r>
      <w:r w:rsidRPr="003234C5">
        <w:rPr>
          <w:rFonts w:ascii="Arial" w:hAnsi="Arial" w:cs="Arial"/>
        </w:rPr>
        <w:t xml:space="preserve">perações de </w:t>
      </w:r>
      <w:r w:rsidR="000A43A2">
        <w:rPr>
          <w:rFonts w:ascii="Arial" w:hAnsi="Arial" w:cs="Arial"/>
        </w:rPr>
        <w:t>V</w:t>
      </w:r>
      <w:r w:rsidRPr="003234C5">
        <w:rPr>
          <w:rFonts w:ascii="Arial" w:hAnsi="Arial" w:cs="Arial"/>
        </w:rPr>
        <w:t xml:space="preserve">enda e </w:t>
      </w:r>
      <w:r w:rsidR="000A43A2">
        <w:rPr>
          <w:rFonts w:ascii="Arial" w:hAnsi="Arial" w:cs="Arial"/>
        </w:rPr>
        <w:t>A</w:t>
      </w:r>
      <w:r w:rsidRPr="003234C5">
        <w:rPr>
          <w:rFonts w:ascii="Arial" w:hAnsi="Arial" w:cs="Arial"/>
        </w:rPr>
        <w:t xml:space="preserve">quisição de </w:t>
      </w:r>
      <w:r w:rsidR="000A43A2">
        <w:rPr>
          <w:rFonts w:ascii="Arial" w:hAnsi="Arial" w:cs="Arial"/>
        </w:rPr>
        <w:t>G</w:t>
      </w:r>
      <w:r w:rsidRPr="003234C5">
        <w:rPr>
          <w:rFonts w:ascii="Arial" w:hAnsi="Arial" w:cs="Arial"/>
        </w:rPr>
        <w:t xml:space="preserve">ás referem-se à aplicação de cláusulas </w:t>
      </w:r>
      <w:r w:rsidR="00602D53">
        <w:rPr>
          <w:rFonts w:ascii="Arial" w:hAnsi="Arial" w:cs="Arial"/>
        </w:rPr>
        <w:t>constantes n</w:t>
      </w:r>
      <w:r w:rsidRPr="003234C5">
        <w:rPr>
          <w:rFonts w:ascii="Arial" w:hAnsi="Arial" w:cs="Arial"/>
        </w:rPr>
        <w:t xml:space="preserve">os contratos de suprimentos da Companhia, que garantem </w:t>
      </w:r>
      <w:r w:rsidR="00234059" w:rsidRPr="003234C5">
        <w:rPr>
          <w:rFonts w:ascii="Arial" w:hAnsi="Arial" w:cs="Arial"/>
        </w:rPr>
        <w:t xml:space="preserve">à CEGÁS o recebimento de gás decorrente do </w:t>
      </w:r>
      <w:r w:rsidRPr="003234C5">
        <w:rPr>
          <w:rFonts w:ascii="Arial" w:hAnsi="Arial" w:cs="Arial"/>
        </w:rPr>
        <w:t xml:space="preserve">adiantamento de valores </w:t>
      </w:r>
      <w:r w:rsidR="009415C0" w:rsidRPr="003234C5">
        <w:rPr>
          <w:rFonts w:ascii="Arial" w:hAnsi="Arial" w:cs="Arial"/>
        </w:rPr>
        <w:t xml:space="preserve">ao Supridor </w:t>
      </w:r>
      <w:r w:rsidRPr="003234C5">
        <w:rPr>
          <w:rFonts w:ascii="Arial" w:hAnsi="Arial" w:cs="Arial"/>
        </w:rPr>
        <w:t xml:space="preserve">correspondentes aos compromissos firmes de aquisição de volumes de gás. </w:t>
      </w:r>
    </w:p>
    <w:p w14:paraId="4AB3E852" w14:textId="77777777" w:rsidR="00E87A86" w:rsidRPr="003234C5" w:rsidRDefault="00E87A86" w:rsidP="00E87A86">
      <w:pPr>
        <w:autoSpaceDE w:val="0"/>
        <w:autoSpaceDN w:val="0"/>
        <w:adjustRightInd w:val="0"/>
        <w:spacing w:after="120"/>
        <w:jc w:val="both"/>
        <w:rPr>
          <w:rFonts w:ascii="Arial" w:hAnsi="Arial" w:cs="Arial"/>
        </w:rPr>
      </w:pPr>
      <w:r w:rsidRPr="003234C5">
        <w:rPr>
          <w:rFonts w:ascii="Arial" w:hAnsi="Arial" w:cs="Arial"/>
        </w:rPr>
        <w:t xml:space="preserve">Em consonância com as regras contratuais, esses adiantamentos são baixados contra a conta de fornecedores, à medida que os volumes de gás são retirados do supridor, ou levando para o resultado como despesa de penalidades, no caso de expirado o prazo contratual para a retirada do gás. </w:t>
      </w:r>
    </w:p>
    <w:p w14:paraId="72E467BB" w14:textId="1BE0B9BF" w:rsidR="00E87A86" w:rsidRPr="003234C5" w:rsidRDefault="00E87A86" w:rsidP="00E87A86">
      <w:pPr>
        <w:autoSpaceDE w:val="0"/>
        <w:autoSpaceDN w:val="0"/>
        <w:adjustRightInd w:val="0"/>
        <w:spacing w:after="120"/>
        <w:jc w:val="both"/>
        <w:rPr>
          <w:rFonts w:ascii="Arial" w:hAnsi="Arial" w:cs="Arial"/>
        </w:rPr>
      </w:pPr>
      <w:r w:rsidRPr="003234C5">
        <w:rPr>
          <w:rFonts w:ascii="Arial" w:hAnsi="Arial" w:cs="Arial"/>
        </w:rPr>
        <w:t xml:space="preserve">Como os valores adiantados ao Supridor </w:t>
      </w:r>
      <w:r w:rsidR="009415C0" w:rsidRPr="003234C5">
        <w:rPr>
          <w:rFonts w:ascii="Arial" w:hAnsi="Arial" w:cs="Arial"/>
        </w:rPr>
        <w:t xml:space="preserve">confere o direito </w:t>
      </w:r>
      <w:r w:rsidR="00926E61">
        <w:rPr>
          <w:rFonts w:ascii="Arial" w:hAnsi="Arial" w:cs="Arial"/>
        </w:rPr>
        <w:t>à</w:t>
      </w:r>
      <w:r w:rsidR="009415C0" w:rsidRPr="003234C5">
        <w:rPr>
          <w:rFonts w:ascii="Arial" w:hAnsi="Arial" w:cs="Arial"/>
        </w:rPr>
        <w:t xml:space="preserve"> Companhia constituído quando do adiantamento, de retirar os correspondentes </w:t>
      </w:r>
      <w:r w:rsidRPr="003234C5">
        <w:rPr>
          <w:rFonts w:ascii="Arial" w:hAnsi="Arial" w:cs="Arial"/>
        </w:rPr>
        <w:t xml:space="preserve">volumes de gás, estes montantes </w:t>
      </w:r>
      <w:r w:rsidR="009415C0" w:rsidRPr="003234C5">
        <w:rPr>
          <w:rFonts w:ascii="Arial" w:hAnsi="Arial" w:cs="Arial"/>
        </w:rPr>
        <w:t xml:space="preserve">estão </w:t>
      </w:r>
      <w:r w:rsidRPr="003234C5">
        <w:rPr>
          <w:rFonts w:ascii="Arial" w:hAnsi="Arial" w:cs="Arial"/>
        </w:rPr>
        <w:t>atualizados pela variação do preço do gás ao final do exercício social.</w:t>
      </w:r>
    </w:p>
    <w:p w14:paraId="3F6C57E3" w14:textId="6A3A1C21" w:rsidR="00E87A86" w:rsidRPr="003234C5" w:rsidRDefault="00E87A86" w:rsidP="00E87A86">
      <w:pPr>
        <w:autoSpaceDE w:val="0"/>
        <w:autoSpaceDN w:val="0"/>
        <w:adjustRightInd w:val="0"/>
        <w:spacing w:after="120"/>
        <w:jc w:val="both"/>
        <w:rPr>
          <w:rFonts w:ascii="Arial" w:hAnsi="Arial" w:cs="Arial"/>
        </w:rPr>
      </w:pPr>
      <w:r w:rsidRPr="003234C5">
        <w:rPr>
          <w:rFonts w:ascii="Arial" w:hAnsi="Arial" w:cs="Arial"/>
        </w:rPr>
        <w:t>A composição da Conta Créditos nas operações de venda e aquisição de gás está demonstrada conforme segue abaixo:</w:t>
      </w:r>
    </w:p>
    <w:p w14:paraId="23937C66" w14:textId="77777777" w:rsidR="00F77F2B" w:rsidRPr="003234C5" w:rsidRDefault="00F77F2B" w:rsidP="00E87A86">
      <w:pPr>
        <w:autoSpaceDE w:val="0"/>
        <w:autoSpaceDN w:val="0"/>
        <w:adjustRightInd w:val="0"/>
        <w:spacing w:after="120"/>
        <w:jc w:val="both"/>
        <w:rPr>
          <w:rFonts w:ascii="Arial" w:hAnsi="Arial" w:cs="Arial"/>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33"/>
        <w:gridCol w:w="1134"/>
        <w:gridCol w:w="992"/>
      </w:tblGrid>
      <w:tr w:rsidR="00F77F2B" w:rsidRPr="003234C5" w14:paraId="541EDE53" w14:textId="77777777" w:rsidTr="00C3673E">
        <w:trPr>
          <w:trHeight w:val="227"/>
        </w:trPr>
        <w:tc>
          <w:tcPr>
            <w:tcW w:w="6833" w:type="dxa"/>
            <w:shd w:val="clear" w:color="auto" w:fill="C0C0C0"/>
            <w:vAlign w:val="center"/>
          </w:tcPr>
          <w:p w14:paraId="3A74691F" w14:textId="77777777" w:rsidR="00F77F2B" w:rsidRPr="003234C5" w:rsidRDefault="00F77F2B" w:rsidP="00F77F2B">
            <w:pPr>
              <w:autoSpaceDE w:val="0"/>
              <w:autoSpaceDN w:val="0"/>
              <w:adjustRightInd w:val="0"/>
              <w:spacing w:after="0"/>
              <w:jc w:val="both"/>
              <w:rPr>
                <w:rFonts w:ascii="Arial" w:hAnsi="Arial" w:cs="Arial"/>
                <w:b/>
                <w:sz w:val="20"/>
                <w:szCs w:val="20"/>
              </w:rPr>
            </w:pPr>
            <w:r w:rsidRPr="003234C5">
              <w:rPr>
                <w:rFonts w:ascii="Arial" w:hAnsi="Arial" w:cs="Arial"/>
                <w:b/>
                <w:sz w:val="20"/>
                <w:szCs w:val="20"/>
              </w:rPr>
              <w:t xml:space="preserve">DESCRIÇÃO – ATIVO CIRCULANTE </w:t>
            </w:r>
          </w:p>
        </w:tc>
        <w:tc>
          <w:tcPr>
            <w:tcW w:w="1134" w:type="dxa"/>
            <w:shd w:val="clear" w:color="auto" w:fill="C0C0C0"/>
            <w:vAlign w:val="bottom"/>
          </w:tcPr>
          <w:p w14:paraId="1EF192F2" w14:textId="409E29A9" w:rsidR="00F77F2B" w:rsidRPr="003234C5" w:rsidRDefault="00C6257E" w:rsidP="00F77F2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992" w:type="dxa"/>
            <w:shd w:val="clear" w:color="auto" w:fill="C0C0C0"/>
            <w:vAlign w:val="bottom"/>
          </w:tcPr>
          <w:p w14:paraId="349F08BC" w14:textId="15F47B9E" w:rsidR="00F77F2B" w:rsidRPr="003234C5" w:rsidRDefault="00C6257E" w:rsidP="00F77F2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491426" w:rsidRPr="003234C5" w14:paraId="66B34B69" w14:textId="77777777" w:rsidTr="00C3673E">
        <w:trPr>
          <w:trHeight w:val="227"/>
        </w:trPr>
        <w:tc>
          <w:tcPr>
            <w:tcW w:w="6833" w:type="dxa"/>
            <w:shd w:val="clear" w:color="auto" w:fill="FFFFFF"/>
          </w:tcPr>
          <w:p w14:paraId="3F4401AD" w14:textId="56303E79" w:rsidR="00491426" w:rsidRPr="003234C5" w:rsidRDefault="00491426" w:rsidP="00491426">
            <w:pPr>
              <w:autoSpaceDE w:val="0"/>
              <w:autoSpaceDN w:val="0"/>
              <w:adjustRightInd w:val="0"/>
              <w:spacing w:after="0"/>
              <w:jc w:val="both"/>
              <w:rPr>
                <w:rFonts w:ascii="Arial" w:hAnsi="Arial" w:cs="Arial"/>
                <w:sz w:val="20"/>
                <w:szCs w:val="20"/>
              </w:rPr>
            </w:pPr>
            <w:r w:rsidRPr="003234C5">
              <w:rPr>
                <w:rFonts w:ascii="Arial" w:hAnsi="Arial" w:cs="Arial"/>
                <w:sz w:val="20"/>
                <w:szCs w:val="20"/>
              </w:rPr>
              <w:t>Contrato Petrobras – Suprimento Geral (</w:t>
            </w:r>
            <w:proofErr w:type="spellStart"/>
            <w:r w:rsidRPr="003234C5">
              <w:rPr>
                <w:rFonts w:ascii="Arial" w:hAnsi="Arial" w:cs="Arial"/>
                <w:sz w:val="20"/>
                <w:szCs w:val="20"/>
              </w:rPr>
              <w:t>ii</w:t>
            </w:r>
            <w:proofErr w:type="spellEnd"/>
            <w:r w:rsidRPr="003234C5">
              <w:rPr>
                <w:rFonts w:ascii="Arial" w:hAnsi="Arial" w:cs="Arial"/>
                <w:sz w:val="20"/>
                <w:szCs w:val="20"/>
              </w:rPr>
              <w:t>)</w:t>
            </w:r>
          </w:p>
        </w:tc>
        <w:tc>
          <w:tcPr>
            <w:tcW w:w="1134" w:type="dxa"/>
            <w:shd w:val="clear" w:color="auto" w:fill="FFFFFF"/>
            <w:vAlign w:val="center"/>
          </w:tcPr>
          <w:p w14:paraId="2F01166D" w14:textId="7D854074" w:rsidR="0004407E" w:rsidRPr="003234C5" w:rsidRDefault="0004407E" w:rsidP="0004407E">
            <w:pPr>
              <w:spacing w:after="0"/>
              <w:jc w:val="right"/>
              <w:rPr>
                <w:rFonts w:ascii="Arial" w:hAnsi="Arial" w:cs="Arial"/>
                <w:sz w:val="20"/>
                <w:szCs w:val="20"/>
              </w:rPr>
            </w:pPr>
            <w:r>
              <w:rPr>
                <w:rFonts w:ascii="Arial" w:hAnsi="Arial" w:cs="Arial"/>
                <w:sz w:val="20"/>
                <w:szCs w:val="20"/>
              </w:rPr>
              <w:t>-</w:t>
            </w:r>
          </w:p>
        </w:tc>
        <w:tc>
          <w:tcPr>
            <w:tcW w:w="992" w:type="dxa"/>
            <w:shd w:val="clear" w:color="auto" w:fill="FFFFFF"/>
            <w:vAlign w:val="center"/>
          </w:tcPr>
          <w:p w14:paraId="57C61F80" w14:textId="6C640F94"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2.886</w:t>
            </w:r>
          </w:p>
        </w:tc>
      </w:tr>
      <w:tr w:rsidR="00491426" w:rsidRPr="003234C5" w14:paraId="6105A918" w14:textId="77777777" w:rsidTr="00C3673E">
        <w:trPr>
          <w:trHeight w:val="227"/>
        </w:trPr>
        <w:tc>
          <w:tcPr>
            <w:tcW w:w="6833" w:type="dxa"/>
            <w:shd w:val="clear" w:color="auto" w:fill="FFFFFF"/>
          </w:tcPr>
          <w:p w14:paraId="0760FA27" w14:textId="77777777" w:rsidR="00491426" w:rsidRPr="003234C5" w:rsidRDefault="00491426" w:rsidP="00491426">
            <w:pPr>
              <w:autoSpaceDE w:val="0"/>
              <w:autoSpaceDN w:val="0"/>
              <w:adjustRightInd w:val="0"/>
              <w:spacing w:after="0"/>
              <w:jc w:val="both"/>
              <w:rPr>
                <w:rFonts w:ascii="Arial" w:hAnsi="Arial" w:cs="Arial"/>
                <w:sz w:val="20"/>
                <w:szCs w:val="20"/>
              </w:rPr>
            </w:pPr>
            <w:r w:rsidRPr="003234C5">
              <w:rPr>
                <w:rFonts w:ascii="Arial" w:hAnsi="Arial" w:cs="Arial"/>
                <w:sz w:val="20"/>
                <w:szCs w:val="20"/>
              </w:rPr>
              <w:t>Contrato Petrobras – Suprimento Geral (</w:t>
            </w:r>
            <w:r w:rsidRPr="006463F6">
              <w:rPr>
                <w:rFonts w:ascii="Arial" w:hAnsi="Arial" w:cs="Arial"/>
                <w:sz w:val="20"/>
                <w:szCs w:val="20"/>
              </w:rPr>
              <w:t>Variação Preço)</w:t>
            </w:r>
            <w:r w:rsidRPr="003234C5">
              <w:rPr>
                <w:rFonts w:ascii="Arial" w:hAnsi="Arial" w:cs="Arial"/>
                <w:sz w:val="20"/>
                <w:szCs w:val="20"/>
              </w:rPr>
              <w:t xml:space="preserve"> </w:t>
            </w:r>
          </w:p>
        </w:tc>
        <w:tc>
          <w:tcPr>
            <w:tcW w:w="1134" w:type="dxa"/>
            <w:shd w:val="clear" w:color="auto" w:fill="FFFFFF"/>
            <w:vAlign w:val="center"/>
          </w:tcPr>
          <w:p w14:paraId="2E695913" w14:textId="7C06A1E4" w:rsidR="00491426" w:rsidRPr="003234C5" w:rsidRDefault="0004407E" w:rsidP="00491426">
            <w:pPr>
              <w:spacing w:after="0"/>
              <w:jc w:val="right"/>
              <w:rPr>
                <w:rFonts w:ascii="Arial" w:hAnsi="Arial" w:cs="Arial"/>
                <w:sz w:val="20"/>
                <w:szCs w:val="20"/>
              </w:rPr>
            </w:pPr>
            <w:r>
              <w:rPr>
                <w:rFonts w:ascii="Arial" w:hAnsi="Arial" w:cs="Arial"/>
                <w:sz w:val="20"/>
                <w:szCs w:val="20"/>
              </w:rPr>
              <w:t>-</w:t>
            </w:r>
          </w:p>
        </w:tc>
        <w:tc>
          <w:tcPr>
            <w:tcW w:w="992" w:type="dxa"/>
            <w:shd w:val="clear" w:color="auto" w:fill="FFFFFF"/>
            <w:vAlign w:val="center"/>
          </w:tcPr>
          <w:p w14:paraId="1A8AFC81" w14:textId="1D72ADF3"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1.674</w:t>
            </w:r>
          </w:p>
        </w:tc>
      </w:tr>
      <w:tr w:rsidR="00491426" w:rsidRPr="003234C5" w14:paraId="1EFA73F0" w14:textId="77777777" w:rsidTr="00C3673E">
        <w:trPr>
          <w:trHeight w:val="227"/>
        </w:trPr>
        <w:tc>
          <w:tcPr>
            <w:tcW w:w="6833" w:type="dxa"/>
            <w:shd w:val="clear" w:color="auto" w:fill="FFFFFF"/>
          </w:tcPr>
          <w:p w14:paraId="3134DB75" w14:textId="77777777" w:rsidR="00491426" w:rsidRPr="003234C5" w:rsidRDefault="00491426" w:rsidP="00491426">
            <w:pPr>
              <w:autoSpaceDE w:val="0"/>
              <w:autoSpaceDN w:val="0"/>
              <w:adjustRightInd w:val="0"/>
              <w:spacing w:after="0"/>
              <w:jc w:val="both"/>
              <w:rPr>
                <w:rFonts w:ascii="Arial" w:hAnsi="Arial" w:cs="Arial"/>
                <w:sz w:val="20"/>
                <w:szCs w:val="20"/>
              </w:rPr>
            </w:pPr>
            <w:r w:rsidRPr="003234C5">
              <w:rPr>
                <w:rFonts w:ascii="Arial" w:hAnsi="Arial" w:cs="Arial"/>
                <w:sz w:val="20"/>
                <w:szCs w:val="20"/>
              </w:rPr>
              <w:t>Outros Adiantamentos</w:t>
            </w:r>
          </w:p>
        </w:tc>
        <w:tc>
          <w:tcPr>
            <w:tcW w:w="1134" w:type="dxa"/>
            <w:shd w:val="clear" w:color="auto" w:fill="FFFFFF"/>
            <w:vAlign w:val="center"/>
          </w:tcPr>
          <w:p w14:paraId="53D3D3E5" w14:textId="6789F7E7" w:rsidR="00491426" w:rsidRPr="003234C5" w:rsidRDefault="00D75C3D" w:rsidP="00491426">
            <w:pPr>
              <w:spacing w:after="0"/>
              <w:jc w:val="right"/>
              <w:rPr>
                <w:rFonts w:ascii="Arial" w:hAnsi="Arial" w:cs="Arial"/>
                <w:sz w:val="20"/>
                <w:szCs w:val="20"/>
              </w:rPr>
            </w:pPr>
            <w:r>
              <w:rPr>
                <w:rFonts w:ascii="Arial" w:hAnsi="Arial" w:cs="Arial"/>
                <w:sz w:val="20"/>
                <w:szCs w:val="20"/>
              </w:rPr>
              <w:t>9</w:t>
            </w:r>
          </w:p>
        </w:tc>
        <w:tc>
          <w:tcPr>
            <w:tcW w:w="992" w:type="dxa"/>
            <w:shd w:val="clear" w:color="auto" w:fill="FFFFFF"/>
            <w:vAlign w:val="center"/>
          </w:tcPr>
          <w:p w14:paraId="0074E178" w14:textId="601A18AB"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157</w:t>
            </w:r>
          </w:p>
        </w:tc>
      </w:tr>
      <w:tr w:rsidR="00491426" w:rsidRPr="003234C5" w14:paraId="3EB29B64" w14:textId="77777777" w:rsidTr="00C3673E">
        <w:trPr>
          <w:trHeight w:val="227"/>
        </w:trPr>
        <w:tc>
          <w:tcPr>
            <w:tcW w:w="6833" w:type="dxa"/>
            <w:shd w:val="clear" w:color="auto" w:fill="C0C0C0"/>
            <w:vAlign w:val="center"/>
          </w:tcPr>
          <w:p w14:paraId="093E92A3" w14:textId="77777777" w:rsidR="00491426" w:rsidRPr="003234C5" w:rsidRDefault="00491426" w:rsidP="00491426">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134" w:type="dxa"/>
            <w:shd w:val="clear" w:color="auto" w:fill="C0C0C0"/>
            <w:vAlign w:val="center"/>
          </w:tcPr>
          <w:p w14:paraId="408C2B07" w14:textId="32F84557" w:rsidR="00491426" w:rsidRPr="003234C5" w:rsidRDefault="00D75C3D" w:rsidP="00491426">
            <w:pPr>
              <w:spacing w:after="0"/>
              <w:jc w:val="right"/>
              <w:rPr>
                <w:rFonts w:ascii="Arial" w:hAnsi="Arial" w:cs="Arial"/>
                <w:b/>
                <w:sz w:val="20"/>
                <w:szCs w:val="20"/>
              </w:rPr>
            </w:pPr>
            <w:r>
              <w:rPr>
                <w:rFonts w:ascii="Arial" w:hAnsi="Arial" w:cs="Arial"/>
                <w:b/>
                <w:sz w:val="20"/>
                <w:szCs w:val="20"/>
              </w:rPr>
              <w:t>9</w:t>
            </w:r>
          </w:p>
        </w:tc>
        <w:tc>
          <w:tcPr>
            <w:tcW w:w="992" w:type="dxa"/>
            <w:shd w:val="clear" w:color="auto" w:fill="C0C0C0"/>
            <w:vAlign w:val="center"/>
          </w:tcPr>
          <w:p w14:paraId="5C5B8964" w14:textId="213ADFC9" w:rsidR="00491426" w:rsidRPr="003234C5" w:rsidRDefault="00491426" w:rsidP="00491426">
            <w:pPr>
              <w:spacing w:after="0"/>
              <w:jc w:val="right"/>
              <w:rPr>
                <w:rFonts w:ascii="Arial" w:hAnsi="Arial" w:cs="Arial"/>
                <w:b/>
                <w:sz w:val="20"/>
                <w:szCs w:val="20"/>
              </w:rPr>
            </w:pPr>
            <w:r w:rsidRPr="003234C5">
              <w:rPr>
                <w:rFonts w:ascii="Arial" w:hAnsi="Arial" w:cs="Arial"/>
                <w:b/>
                <w:bCs/>
                <w:color w:val="000000"/>
                <w:sz w:val="20"/>
                <w:szCs w:val="20"/>
              </w:rPr>
              <w:t>4.717</w:t>
            </w:r>
          </w:p>
        </w:tc>
      </w:tr>
    </w:tbl>
    <w:p w14:paraId="650031E7" w14:textId="77777777" w:rsidR="00E87A86" w:rsidRPr="003234C5" w:rsidRDefault="00E87A86" w:rsidP="00E87A86">
      <w:pPr>
        <w:widowControl w:val="0"/>
        <w:jc w:val="both"/>
        <w:rPr>
          <w:rFonts w:ascii="Arial" w:hAnsi="Arial" w:cs="Arial"/>
          <w:b/>
          <w:sz w:val="24"/>
          <w:szCs w:val="24"/>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1134"/>
        <w:gridCol w:w="992"/>
      </w:tblGrid>
      <w:tr w:rsidR="00F77F2B" w:rsidRPr="003234C5" w14:paraId="4E15F888" w14:textId="77777777" w:rsidTr="00C3673E">
        <w:trPr>
          <w:trHeight w:val="227"/>
        </w:trPr>
        <w:tc>
          <w:tcPr>
            <w:tcW w:w="6833" w:type="dxa"/>
            <w:shd w:val="clear" w:color="auto" w:fill="C0C0C0"/>
            <w:vAlign w:val="center"/>
          </w:tcPr>
          <w:p w14:paraId="53875E4F" w14:textId="77777777" w:rsidR="00F77F2B" w:rsidRPr="003234C5" w:rsidRDefault="00F77F2B" w:rsidP="00F77F2B">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ATIVO NÃO CIRCULANTE</w:t>
            </w:r>
          </w:p>
        </w:tc>
        <w:tc>
          <w:tcPr>
            <w:tcW w:w="1134" w:type="dxa"/>
            <w:shd w:val="clear" w:color="auto" w:fill="C0C0C0"/>
            <w:vAlign w:val="bottom"/>
          </w:tcPr>
          <w:p w14:paraId="0B39CC0D" w14:textId="36E4FE33" w:rsidR="00F77F2B" w:rsidRPr="003234C5" w:rsidRDefault="00C6257E" w:rsidP="00F77F2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992" w:type="dxa"/>
            <w:shd w:val="clear" w:color="auto" w:fill="C0C0C0"/>
            <w:vAlign w:val="bottom"/>
          </w:tcPr>
          <w:p w14:paraId="4355CFE9" w14:textId="5F714A26" w:rsidR="00F77F2B" w:rsidRPr="003234C5" w:rsidRDefault="00C6257E" w:rsidP="00F77F2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491426" w:rsidRPr="003234C5" w14:paraId="6122063F" w14:textId="77777777" w:rsidTr="00C3673E">
        <w:trPr>
          <w:trHeight w:val="227"/>
        </w:trPr>
        <w:tc>
          <w:tcPr>
            <w:tcW w:w="6833" w:type="dxa"/>
            <w:shd w:val="clear" w:color="auto" w:fill="FFFFFF"/>
          </w:tcPr>
          <w:p w14:paraId="3BEC5FE9" w14:textId="2D50DE16" w:rsidR="00491426" w:rsidRPr="003234C5" w:rsidRDefault="00491426" w:rsidP="00491426">
            <w:pPr>
              <w:spacing w:after="0"/>
              <w:jc w:val="both"/>
              <w:rPr>
                <w:rFonts w:ascii="Arial" w:hAnsi="Arial" w:cs="Arial"/>
                <w:sz w:val="20"/>
                <w:szCs w:val="20"/>
              </w:rPr>
            </w:pPr>
            <w:bookmarkStart w:id="23" w:name="_Hlk506324659"/>
            <w:r w:rsidRPr="003234C5">
              <w:rPr>
                <w:rFonts w:ascii="Arial" w:hAnsi="Arial" w:cs="Arial"/>
                <w:sz w:val="20"/>
                <w:szCs w:val="20"/>
              </w:rPr>
              <w:t xml:space="preserve">Contrato Petrobras – Suprimentos </w:t>
            </w:r>
            <w:proofErr w:type="spellStart"/>
            <w:r w:rsidRPr="003234C5">
              <w:rPr>
                <w:rFonts w:ascii="Arial" w:hAnsi="Arial" w:cs="Arial"/>
                <w:sz w:val="20"/>
                <w:szCs w:val="20"/>
              </w:rPr>
              <w:t>Termofortaleza</w:t>
            </w:r>
            <w:proofErr w:type="spellEnd"/>
            <w:r w:rsidRPr="003234C5" w:rsidDel="006C5CFF">
              <w:rPr>
                <w:rFonts w:ascii="Arial" w:hAnsi="Arial" w:cs="Arial"/>
                <w:sz w:val="20"/>
                <w:szCs w:val="20"/>
              </w:rPr>
              <w:t xml:space="preserve"> </w:t>
            </w:r>
            <w:r w:rsidRPr="003234C5">
              <w:rPr>
                <w:rFonts w:ascii="Arial" w:hAnsi="Arial" w:cs="Arial"/>
                <w:sz w:val="20"/>
                <w:szCs w:val="20"/>
              </w:rPr>
              <w:t>(i)</w:t>
            </w:r>
          </w:p>
        </w:tc>
        <w:tc>
          <w:tcPr>
            <w:tcW w:w="1134" w:type="dxa"/>
            <w:shd w:val="clear" w:color="auto" w:fill="FFFFFF"/>
            <w:vAlign w:val="center"/>
          </w:tcPr>
          <w:p w14:paraId="762833B3" w14:textId="6E9D1010" w:rsidR="00491426" w:rsidRPr="003234C5" w:rsidRDefault="00571234" w:rsidP="00491426">
            <w:pPr>
              <w:spacing w:after="0"/>
              <w:jc w:val="right"/>
              <w:rPr>
                <w:rFonts w:ascii="Arial" w:hAnsi="Arial" w:cs="Arial"/>
                <w:sz w:val="20"/>
                <w:szCs w:val="20"/>
              </w:rPr>
            </w:pPr>
            <w:r>
              <w:rPr>
                <w:rFonts w:ascii="Arial" w:hAnsi="Arial" w:cs="Arial"/>
                <w:sz w:val="20"/>
                <w:szCs w:val="20"/>
              </w:rPr>
              <w:t>35.134</w:t>
            </w:r>
          </w:p>
        </w:tc>
        <w:tc>
          <w:tcPr>
            <w:tcW w:w="992" w:type="dxa"/>
            <w:shd w:val="clear" w:color="auto" w:fill="FFFFFF"/>
            <w:vAlign w:val="center"/>
          </w:tcPr>
          <w:p w14:paraId="7F5453DB" w14:textId="2AD861ED"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15.228</w:t>
            </w:r>
          </w:p>
        </w:tc>
      </w:tr>
      <w:bookmarkEnd w:id="23"/>
      <w:tr w:rsidR="00491426" w:rsidRPr="003234C5" w14:paraId="06705944" w14:textId="77777777" w:rsidTr="00C3673E">
        <w:trPr>
          <w:trHeight w:val="227"/>
        </w:trPr>
        <w:tc>
          <w:tcPr>
            <w:tcW w:w="6833" w:type="dxa"/>
            <w:shd w:val="clear" w:color="auto" w:fill="FFFFFF"/>
          </w:tcPr>
          <w:p w14:paraId="71568B4E" w14:textId="17FD6973" w:rsidR="00491426" w:rsidRPr="003234C5" w:rsidRDefault="00491426" w:rsidP="00491426">
            <w:pPr>
              <w:spacing w:after="0"/>
              <w:jc w:val="both"/>
              <w:rPr>
                <w:rFonts w:ascii="Arial" w:hAnsi="Arial" w:cs="Arial"/>
                <w:sz w:val="20"/>
                <w:szCs w:val="20"/>
              </w:rPr>
            </w:pPr>
            <w:r w:rsidRPr="003234C5">
              <w:rPr>
                <w:rFonts w:ascii="Arial" w:hAnsi="Arial" w:cs="Arial"/>
                <w:sz w:val="20"/>
                <w:szCs w:val="20"/>
              </w:rPr>
              <w:t xml:space="preserve">Contrato Petrobras – Suprimentos </w:t>
            </w:r>
            <w:proofErr w:type="spellStart"/>
            <w:r w:rsidRPr="003234C5">
              <w:rPr>
                <w:rFonts w:ascii="Arial" w:hAnsi="Arial" w:cs="Arial"/>
                <w:sz w:val="20"/>
                <w:szCs w:val="20"/>
              </w:rPr>
              <w:t>Termofortaleza</w:t>
            </w:r>
            <w:proofErr w:type="spellEnd"/>
            <w:r w:rsidRPr="003234C5">
              <w:rPr>
                <w:rFonts w:ascii="Arial" w:hAnsi="Arial" w:cs="Arial"/>
                <w:sz w:val="20"/>
                <w:szCs w:val="20"/>
              </w:rPr>
              <w:t xml:space="preserve"> (Variação Preço) (i)</w:t>
            </w:r>
          </w:p>
        </w:tc>
        <w:tc>
          <w:tcPr>
            <w:tcW w:w="1134" w:type="dxa"/>
            <w:shd w:val="clear" w:color="auto" w:fill="FFFFFF"/>
            <w:vAlign w:val="center"/>
          </w:tcPr>
          <w:p w14:paraId="202B292C" w14:textId="17A167DE" w:rsidR="00491426" w:rsidRPr="003234C5" w:rsidRDefault="00571234" w:rsidP="00491426">
            <w:pPr>
              <w:spacing w:after="0"/>
              <w:jc w:val="right"/>
              <w:rPr>
                <w:rFonts w:ascii="Arial" w:hAnsi="Arial" w:cs="Arial"/>
                <w:sz w:val="20"/>
                <w:szCs w:val="20"/>
              </w:rPr>
            </w:pPr>
            <w:r>
              <w:rPr>
                <w:rFonts w:ascii="Arial" w:hAnsi="Arial" w:cs="Arial"/>
                <w:sz w:val="20"/>
                <w:szCs w:val="20"/>
              </w:rPr>
              <w:t>3.710</w:t>
            </w:r>
          </w:p>
        </w:tc>
        <w:tc>
          <w:tcPr>
            <w:tcW w:w="992" w:type="dxa"/>
            <w:shd w:val="clear" w:color="auto" w:fill="FFFFFF"/>
            <w:vAlign w:val="center"/>
          </w:tcPr>
          <w:p w14:paraId="32D73DF3" w14:textId="7CEB8B22" w:rsidR="00491426" w:rsidRPr="003234C5" w:rsidRDefault="00491426" w:rsidP="00491426">
            <w:pPr>
              <w:spacing w:after="0"/>
              <w:jc w:val="right"/>
              <w:rPr>
                <w:rFonts w:ascii="Arial" w:hAnsi="Arial" w:cs="Arial"/>
                <w:sz w:val="20"/>
                <w:szCs w:val="20"/>
              </w:rPr>
            </w:pPr>
            <w:r w:rsidRPr="003234C5">
              <w:rPr>
                <w:rFonts w:ascii="Arial" w:hAnsi="Arial" w:cs="Arial"/>
                <w:color w:val="000000"/>
                <w:sz w:val="20"/>
                <w:szCs w:val="20"/>
              </w:rPr>
              <w:t>10.716</w:t>
            </w:r>
          </w:p>
        </w:tc>
      </w:tr>
      <w:tr w:rsidR="00C25699" w:rsidRPr="003234C5" w14:paraId="44458568" w14:textId="77777777" w:rsidTr="00C3673E">
        <w:trPr>
          <w:trHeight w:val="227"/>
        </w:trPr>
        <w:tc>
          <w:tcPr>
            <w:tcW w:w="6833" w:type="dxa"/>
            <w:shd w:val="clear" w:color="auto" w:fill="C0C0C0"/>
            <w:vAlign w:val="center"/>
          </w:tcPr>
          <w:p w14:paraId="1F1D2BD8" w14:textId="77777777" w:rsidR="00C25699" w:rsidRPr="003234C5" w:rsidRDefault="00C25699" w:rsidP="00C25699">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134" w:type="dxa"/>
            <w:shd w:val="clear" w:color="auto" w:fill="C0C0C0"/>
            <w:vAlign w:val="center"/>
          </w:tcPr>
          <w:p w14:paraId="3D27C267" w14:textId="30386A0B" w:rsidR="00C25699" w:rsidRPr="003234C5" w:rsidRDefault="004D4679" w:rsidP="00491426">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38.844</w:t>
            </w:r>
          </w:p>
        </w:tc>
        <w:tc>
          <w:tcPr>
            <w:tcW w:w="992" w:type="dxa"/>
            <w:shd w:val="clear" w:color="auto" w:fill="C0C0C0"/>
            <w:vAlign w:val="center"/>
          </w:tcPr>
          <w:p w14:paraId="3959C774" w14:textId="13B54B1E" w:rsidR="00C25699" w:rsidRPr="003234C5" w:rsidRDefault="00C25699" w:rsidP="00C25699">
            <w:pPr>
              <w:spacing w:after="0"/>
              <w:jc w:val="right"/>
              <w:rPr>
                <w:rFonts w:ascii="Arial" w:hAnsi="Arial" w:cs="Arial"/>
                <w:b/>
                <w:sz w:val="20"/>
                <w:szCs w:val="20"/>
              </w:rPr>
            </w:pPr>
            <w:r w:rsidRPr="003234C5">
              <w:rPr>
                <w:rFonts w:ascii="Arial" w:hAnsi="Arial" w:cs="Arial"/>
                <w:b/>
                <w:bCs/>
                <w:color w:val="000000"/>
                <w:sz w:val="20"/>
                <w:szCs w:val="20"/>
              </w:rPr>
              <w:t>25.944</w:t>
            </w:r>
          </w:p>
        </w:tc>
      </w:tr>
    </w:tbl>
    <w:p w14:paraId="3A1BBF92" w14:textId="77777777" w:rsidR="00E87A86" w:rsidRPr="003234C5" w:rsidRDefault="00E87A86" w:rsidP="00E87A86">
      <w:pPr>
        <w:widowControl w:val="0"/>
        <w:jc w:val="both"/>
        <w:rPr>
          <w:rFonts w:ascii="Arial" w:hAnsi="Arial" w:cs="Arial"/>
          <w:b/>
        </w:rPr>
      </w:pPr>
    </w:p>
    <w:p w14:paraId="5591273E" w14:textId="726533EE" w:rsidR="00E87A86" w:rsidRPr="003234C5" w:rsidRDefault="00E87A86" w:rsidP="00E87A86">
      <w:pPr>
        <w:autoSpaceDE w:val="0"/>
        <w:autoSpaceDN w:val="0"/>
        <w:adjustRightInd w:val="0"/>
        <w:jc w:val="both"/>
        <w:rPr>
          <w:rFonts w:ascii="Arial" w:hAnsi="Arial" w:cs="Arial"/>
        </w:rPr>
      </w:pPr>
      <w:r w:rsidRPr="003234C5">
        <w:rPr>
          <w:rFonts w:ascii="Arial" w:hAnsi="Arial" w:cs="Arial"/>
        </w:rPr>
        <w:t>Os valores registrados nestas rubricas referem-se a:</w:t>
      </w:r>
      <w:r w:rsidR="00810963" w:rsidRPr="003234C5">
        <w:rPr>
          <w:rFonts w:ascii="Arial" w:hAnsi="Arial" w:cs="Arial"/>
        </w:rPr>
        <w:t xml:space="preserve"> </w:t>
      </w:r>
    </w:p>
    <w:p w14:paraId="3C9B623F" w14:textId="49D0740F" w:rsidR="00E87A86" w:rsidRPr="003234C5" w:rsidRDefault="00E87A86" w:rsidP="00E87A86">
      <w:pPr>
        <w:autoSpaceDE w:val="0"/>
        <w:autoSpaceDN w:val="0"/>
        <w:adjustRightInd w:val="0"/>
        <w:jc w:val="both"/>
        <w:rPr>
          <w:rFonts w:ascii="Arial" w:hAnsi="Arial" w:cs="Arial"/>
        </w:rPr>
      </w:pPr>
      <w:r w:rsidRPr="003234C5">
        <w:rPr>
          <w:rFonts w:ascii="Arial" w:hAnsi="Arial" w:cs="Arial"/>
        </w:rPr>
        <w:t>i</w:t>
      </w:r>
      <w:r w:rsidR="00C25699" w:rsidRPr="003234C5">
        <w:rPr>
          <w:rFonts w:ascii="Arial" w:hAnsi="Arial" w:cs="Arial"/>
        </w:rPr>
        <w:t>)</w:t>
      </w:r>
      <w:r w:rsidRPr="003234C5">
        <w:rPr>
          <w:rFonts w:ascii="Arial" w:hAnsi="Arial" w:cs="Arial"/>
        </w:rPr>
        <w:t xml:space="preserve"> Contrato Petrobras – Suprimentos </w:t>
      </w:r>
      <w:proofErr w:type="spellStart"/>
      <w:r w:rsidRPr="003234C5">
        <w:rPr>
          <w:rFonts w:ascii="Arial" w:hAnsi="Arial" w:cs="Arial"/>
        </w:rPr>
        <w:t>Termofortaleza</w:t>
      </w:r>
      <w:proofErr w:type="spellEnd"/>
      <w:r w:rsidRPr="003234C5" w:rsidDel="006C5CFF">
        <w:rPr>
          <w:rFonts w:ascii="Arial" w:hAnsi="Arial" w:cs="Arial"/>
        </w:rPr>
        <w:t xml:space="preserve"> </w:t>
      </w:r>
    </w:p>
    <w:p w14:paraId="2A10C258" w14:textId="109F2EE2" w:rsidR="00E87A86" w:rsidRPr="003234C5" w:rsidRDefault="00E87A86" w:rsidP="00E87A86">
      <w:pPr>
        <w:autoSpaceDE w:val="0"/>
        <w:autoSpaceDN w:val="0"/>
        <w:adjustRightInd w:val="0"/>
        <w:jc w:val="both"/>
        <w:rPr>
          <w:rFonts w:ascii="Arial" w:hAnsi="Arial" w:cs="Arial"/>
        </w:rPr>
      </w:pPr>
      <w:r w:rsidRPr="003234C5">
        <w:rPr>
          <w:rFonts w:ascii="Arial" w:hAnsi="Arial" w:cs="Arial"/>
        </w:rPr>
        <w:t xml:space="preserve">Em 16 de setembro de 2002, foi assinado o Contrato de compra e venda de gás natural entre a Companhia e a Central Geradora Termelétrica Fortaleza, com a interveniência da Petrobras, com a finalidade de compra pela </w:t>
      </w:r>
      <w:proofErr w:type="spellStart"/>
      <w:r w:rsidRPr="003234C5">
        <w:rPr>
          <w:rFonts w:ascii="Arial" w:hAnsi="Arial" w:cs="Arial"/>
        </w:rPr>
        <w:t>Termofortaleza</w:t>
      </w:r>
      <w:proofErr w:type="spellEnd"/>
      <w:r w:rsidRPr="003234C5">
        <w:rPr>
          <w:rFonts w:ascii="Arial" w:hAnsi="Arial" w:cs="Arial"/>
        </w:rPr>
        <w:t xml:space="preserve"> e venda pela Companhia, da quantidade de 1.550.000 m³ diária (média diária anual) até o término do contrato, com compromissos firmes </w:t>
      </w:r>
      <w:r w:rsidRPr="003234C5">
        <w:rPr>
          <w:rFonts w:ascii="Arial" w:hAnsi="Arial" w:cs="Arial"/>
        </w:rPr>
        <w:lastRenderedPageBreak/>
        <w:t xml:space="preserve">previstos em caso de retirada de quantidades mensais superiores a 110% (cento e dez por cento) e inferiores a 80% (oitenta por cento) da quantidade diária programada. A Companhia se compromete, ainda, a uma retirada mínima mensal e anual, conforme abaixo, sujeita à aplicação de penalidade pelo não cumprimento da cláusula denominada </w:t>
      </w:r>
      <w:r w:rsidRPr="003234C5">
        <w:rPr>
          <w:rFonts w:ascii="Arial" w:hAnsi="Arial" w:cs="Arial"/>
          <w:i/>
        </w:rPr>
        <w:t xml:space="preserve">Take </w:t>
      </w:r>
      <w:proofErr w:type="spellStart"/>
      <w:r w:rsidRPr="003234C5">
        <w:rPr>
          <w:rFonts w:ascii="Arial" w:hAnsi="Arial" w:cs="Arial"/>
          <w:i/>
        </w:rPr>
        <w:t>or</w:t>
      </w:r>
      <w:proofErr w:type="spellEnd"/>
      <w:r w:rsidRPr="003234C5">
        <w:rPr>
          <w:rFonts w:ascii="Arial" w:hAnsi="Arial" w:cs="Arial"/>
          <w:i/>
        </w:rPr>
        <w:t xml:space="preserve"> </w:t>
      </w:r>
      <w:proofErr w:type="spellStart"/>
      <w:r w:rsidRPr="003234C5">
        <w:rPr>
          <w:rFonts w:ascii="Arial" w:hAnsi="Arial" w:cs="Arial"/>
          <w:i/>
        </w:rPr>
        <w:t>Pay</w:t>
      </w:r>
      <w:proofErr w:type="spellEnd"/>
      <w:r w:rsidRPr="003234C5">
        <w:rPr>
          <w:rFonts w:ascii="Arial" w:hAnsi="Arial" w:cs="Arial"/>
        </w:rPr>
        <w:t>.</w:t>
      </w:r>
      <w:r w:rsidR="00810963" w:rsidRPr="003234C5">
        <w:rPr>
          <w:rFonts w:ascii="Arial" w:hAnsi="Arial" w:cs="Arial"/>
        </w:rPr>
        <w:t xml:space="preserve"> </w:t>
      </w:r>
      <w:r w:rsidRPr="003234C5">
        <w:rPr>
          <w:rFonts w:ascii="Arial" w:hAnsi="Arial" w:cs="Arial"/>
        </w:rPr>
        <w:t>O compromisso firme de retirada de volumes</w:t>
      </w:r>
      <w:r w:rsidR="00822A47" w:rsidRPr="003234C5">
        <w:rPr>
          <w:rFonts w:ascii="Arial" w:hAnsi="Arial" w:cs="Arial"/>
        </w:rPr>
        <w:t>,</w:t>
      </w:r>
      <w:r w:rsidRPr="003234C5">
        <w:rPr>
          <w:rFonts w:ascii="Arial" w:hAnsi="Arial" w:cs="Arial"/>
        </w:rPr>
        <w:t xml:space="preserve"> </w:t>
      </w:r>
      <w:r w:rsidR="00822A47" w:rsidRPr="003234C5">
        <w:rPr>
          <w:rFonts w:ascii="Arial" w:hAnsi="Arial" w:cs="Arial"/>
        </w:rPr>
        <w:t xml:space="preserve">quando não atingido, </w:t>
      </w:r>
      <w:r w:rsidRPr="003234C5">
        <w:rPr>
          <w:rFonts w:ascii="Arial" w:hAnsi="Arial" w:cs="Arial"/>
        </w:rPr>
        <w:t xml:space="preserve">gera adiantamento de pagamento ao supridor </w:t>
      </w:r>
      <w:r w:rsidR="00822A47" w:rsidRPr="003234C5">
        <w:rPr>
          <w:rFonts w:ascii="Arial" w:hAnsi="Arial" w:cs="Arial"/>
        </w:rPr>
        <w:t>assim</w:t>
      </w:r>
      <w:r w:rsidRPr="003234C5">
        <w:rPr>
          <w:rFonts w:ascii="Arial" w:hAnsi="Arial" w:cs="Arial"/>
        </w:rPr>
        <w:t xml:space="preserve"> determinado: </w:t>
      </w:r>
    </w:p>
    <w:p w14:paraId="5FFC6383" w14:textId="4D21903B" w:rsidR="00E87A86" w:rsidRPr="003234C5" w:rsidRDefault="00E87A86" w:rsidP="00E87A86">
      <w:pPr>
        <w:widowControl w:val="0"/>
        <w:autoSpaceDE w:val="0"/>
        <w:autoSpaceDN w:val="0"/>
        <w:adjustRightInd w:val="0"/>
        <w:spacing w:after="120"/>
        <w:jc w:val="both"/>
        <w:rPr>
          <w:rFonts w:ascii="Arial" w:hAnsi="Arial" w:cs="Arial"/>
        </w:rPr>
      </w:pPr>
      <w:r w:rsidRPr="003234C5">
        <w:rPr>
          <w:rFonts w:ascii="Arial" w:hAnsi="Arial" w:cs="Arial"/>
        </w:rPr>
        <w:t xml:space="preserve">a) a cada mês: </w:t>
      </w:r>
      <w:r w:rsidR="00822A47" w:rsidRPr="003234C5">
        <w:rPr>
          <w:rFonts w:ascii="Arial" w:hAnsi="Arial" w:cs="Arial"/>
        </w:rPr>
        <w:t xml:space="preserve">calculado como </w:t>
      </w:r>
      <w:r w:rsidRPr="003234C5">
        <w:rPr>
          <w:rFonts w:ascii="Arial" w:hAnsi="Arial" w:cs="Arial"/>
        </w:rPr>
        <w:t xml:space="preserve">56% </w:t>
      </w:r>
      <w:r w:rsidR="00822A47" w:rsidRPr="003234C5">
        <w:rPr>
          <w:rFonts w:ascii="Arial" w:hAnsi="Arial" w:cs="Arial"/>
        </w:rPr>
        <w:t xml:space="preserve">da Quantidade Contratada (“o compromisso de retirada mensal”) subtraído o volume retirado </w:t>
      </w:r>
      <w:r w:rsidRPr="003234C5">
        <w:rPr>
          <w:rFonts w:ascii="Arial" w:hAnsi="Arial" w:cs="Arial"/>
        </w:rPr>
        <w:t>no mês</w:t>
      </w:r>
      <w:r w:rsidR="00822A47" w:rsidRPr="003234C5">
        <w:rPr>
          <w:rFonts w:ascii="Arial" w:hAnsi="Arial" w:cs="Arial"/>
        </w:rPr>
        <w:t xml:space="preserve">, ao qual se aplica o preço unitário </w:t>
      </w:r>
      <w:r w:rsidRPr="003234C5">
        <w:rPr>
          <w:rFonts w:ascii="Arial" w:hAnsi="Arial" w:cs="Arial"/>
        </w:rPr>
        <w:t xml:space="preserve">da parcela relativa à </w:t>
      </w:r>
      <w:r w:rsidRPr="003234C5">
        <w:rPr>
          <w:rFonts w:ascii="Arial" w:hAnsi="Arial" w:cs="Arial"/>
          <w:i/>
        </w:rPr>
        <w:t>commodity</w:t>
      </w:r>
      <w:r w:rsidRPr="003234C5">
        <w:rPr>
          <w:rFonts w:ascii="Arial" w:hAnsi="Arial" w:cs="Arial"/>
        </w:rPr>
        <w:t xml:space="preserve"> do custo do gás vigente ao final do último dia do mês de fornecimento.</w:t>
      </w:r>
    </w:p>
    <w:p w14:paraId="7082859C" w14:textId="3F37B837" w:rsidR="00E87A86" w:rsidRPr="003234C5" w:rsidRDefault="00E87A86" w:rsidP="00E87A86">
      <w:pPr>
        <w:widowControl w:val="0"/>
        <w:autoSpaceDE w:val="0"/>
        <w:autoSpaceDN w:val="0"/>
        <w:adjustRightInd w:val="0"/>
        <w:jc w:val="both"/>
        <w:rPr>
          <w:rFonts w:ascii="Arial" w:hAnsi="Arial" w:cs="Arial"/>
        </w:rPr>
      </w:pPr>
      <w:r w:rsidRPr="003234C5">
        <w:rPr>
          <w:rFonts w:ascii="Arial" w:hAnsi="Arial" w:cs="Arial"/>
        </w:rPr>
        <w:t xml:space="preserve">b) a cada ano: </w:t>
      </w:r>
      <w:r w:rsidR="00822A47" w:rsidRPr="003234C5">
        <w:rPr>
          <w:rFonts w:ascii="Arial" w:hAnsi="Arial" w:cs="Arial"/>
        </w:rPr>
        <w:t xml:space="preserve">calculado como </w:t>
      </w:r>
      <w:r w:rsidRPr="003234C5">
        <w:rPr>
          <w:rFonts w:ascii="Arial" w:hAnsi="Arial" w:cs="Arial"/>
        </w:rPr>
        <w:t xml:space="preserve">70% </w:t>
      </w:r>
      <w:r w:rsidR="00822A47" w:rsidRPr="003234C5">
        <w:rPr>
          <w:rFonts w:ascii="Arial" w:hAnsi="Arial" w:cs="Arial"/>
        </w:rPr>
        <w:t xml:space="preserve">da Quantidade Contratada (“o compromisso de retirada anual”) subtraído o volume retirado </w:t>
      </w:r>
      <w:r w:rsidRPr="003234C5">
        <w:rPr>
          <w:rFonts w:ascii="Arial" w:hAnsi="Arial" w:cs="Arial"/>
        </w:rPr>
        <w:t>no ano</w:t>
      </w:r>
      <w:r w:rsidR="00822A47" w:rsidRPr="003234C5">
        <w:rPr>
          <w:rFonts w:ascii="Arial" w:hAnsi="Arial" w:cs="Arial"/>
        </w:rPr>
        <w:t>, ao qual se aplica o preço unitário</w:t>
      </w:r>
      <w:r w:rsidRPr="003234C5">
        <w:rPr>
          <w:rFonts w:ascii="Arial" w:hAnsi="Arial" w:cs="Arial"/>
        </w:rPr>
        <w:t xml:space="preserve"> da parcela relativa à </w:t>
      </w:r>
      <w:r w:rsidRPr="003234C5">
        <w:rPr>
          <w:rFonts w:ascii="Arial" w:hAnsi="Arial" w:cs="Arial"/>
          <w:i/>
        </w:rPr>
        <w:t>commodity</w:t>
      </w:r>
      <w:r w:rsidRPr="003234C5">
        <w:rPr>
          <w:rFonts w:ascii="Arial" w:hAnsi="Arial" w:cs="Arial"/>
        </w:rPr>
        <w:t xml:space="preserve"> do custo do gás vigente ao final do último dia do ano de fornecimento. O adiantamento ao supridor é realizado através de depósito à vista em conta bancária dos valores relativos aos volumes não consumidos, cujo crédito poderá ser recuperado, em quantidade de gás, até 365 dias após o final da vigência do contrato e no limite do valor do depósito corrigido pela variação do preço do gás.</w:t>
      </w:r>
    </w:p>
    <w:p w14:paraId="4A1A9E13" w14:textId="6D370346" w:rsidR="00C25699" w:rsidRPr="003234C5" w:rsidRDefault="00E87A86" w:rsidP="00E87A86">
      <w:pPr>
        <w:widowControl w:val="0"/>
        <w:autoSpaceDE w:val="0"/>
        <w:autoSpaceDN w:val="0"/>
        <w:adjustRightInd w:val="0"/>
        <w:jc w:val="both"/>
        <w:rPr>
          <w:rFonts w:ascii="Arial" w:hAnsi="Arial" w:cs="Arial"/>
        </w:rPr>
      </w:pPr>
      <w:r w:rsidRPr="00EF598B">
        <w:rPr>
          <w:rFonts w:ascii="Arial" w:hAnsi="Arial" w:cs="Arial"/>
        </w:rPr>
        <w:t xml:space="preserve">Em </w:t>
      </w:r>
      <w:r w:rsidR="00AF4D26" w:rsidRPr="00EF598B">
        <w:rPr>
          <w:rFonts w:ascii="Arial" w:hAnsi="Arial" w:cs="Arial"/>
        </w:rPr>
        <w:t>31</w:t>
      </w:r>
      <w:r w:rsidR="00F77F2B" w:rsidRPr="00EF598B">
        <w:rPr>
          <w:rFonts w:ascii="Arial" w:hAnsi="Arial" w:cs="Arial"/>
        </w:rPr>
        <w:t xml:space="preserve"> de </w:t>
      </w:r>
      <w:r w:rsidR="00AF4D26" w:rsidRPr="00EF598B">
        <w:rPr>
          <w:rFonts w:ascii="Arial" w:hAnsi="Arial" w:cs="Arial"/>
        </w:rPr>
        <w:t>dezembro</w:t>
      </w:r>
      <w:r w:rsidR="00F77F2B" w:rsidRPr="00EF598B">
        <w:rPr>
          <w:rFonts w:ascii="Arial" w:hAnsi="Arial" w:cs="Arial"/>
        </w:rPr>
        <w:t xml:space="preserve"> de 2019</w:t>
      </w:r>
      <w:r w:rsidRPr="00EF598B">
        <w:rPr>
          <w:rFonts w:ascii="Arial" w:hAnsi="Arial" w:cs="Arial"/>
        </w:rPr>
        <w:t xml:space="preserve">, o saldo de adiantamento do Contrato Petrobras – Suprimento </w:t>
      </w:r>
      <w:proofErr w:type="spellStart"/>
      <w:r w:rsidRPr="00EF598B">
        <w:rPr>
          <w:rFonts w:ascii="Arial" w:hAnsi="Arial" w:cs="Arial"/>
        </w:rPr>
        <w:t>Termofortaleza</w:t>
      </w:r>
      <w:proofErr w:type="spellEnd"/>
      <w:r w:rsidRPr="00EF598B">
        <w:rPr>
          <w:rFonts w:ascii="Arial" w:hAnsi="Arial" w:cs="Arial"/>
        </w:rPr>
        <w:t xml:space="preserve"> totalizou o valor de R$ </w:t>
      </w:r>
      <w:r w:rsidR="00EB4256" w:rsidRPr="00EF598B">
        <w:rPr>
          <w:rFonts w:ascii="Arial" w:hAnsi="Arial" w:cs="Arial"/>
        </w:rPr>
        <w:t>38.844</w:t>
      </w:r>
      <w:r w:rsidRPr="00EF598B">
        <w:rPr>
          <w:rFonts w:ascii="Arial" w:hAnsi="Arial" w:cs="Arial"/>
        </w:rPr>
        <w:t xml:space="preserve">, sendo R$ </w:t>
      </w:r>
      <w:r w:rsidR="00EB4256" w:rsidRPr="00EF598B">
        <w:rPr>
          <w:rFonts w:ascii="Arial" w:hAnsi="Arial" w:cs="Arial"/>
        </w:rPr>
        <w:t>35.134</w:t>
      </w:r>
      <w:r w:rsidRPr="00EF598B">
        <w:rPr>
          <w:rFonts w:ascii="Arial" w:hAnsi="Arial" w:cs="Arial"/>
        </w:rPr>
        <w:t xml:space="preserve"> o valor principal e </w:t>
      </w:r>
      <w:bookmarkStart w:id="24" w:name="OLE_LINK215"/>
      <w:bookmarkStart w:id="25" w:name="OLE_LINK216"/>
      <w:r w:rsidRPr="00EF598B">
        <w:rPr>
          <w:rFonts w:ascii="Arial" w:hAnsi="Arial" w:cs="Arial"/>
        </w:rPr>
        <w:t xml:space="preserve">a atualização de R$ </w:t>
      </w:r>
      <w:r w:rsidR="00DA7112" w:rsidRPr="00EF598B">
        <w:rPr>
          <w:rFonts w:ascii="Arial" w:hAnsi="Arial" w:cs="Arial"/>
        </w:rPr>
        <w:t>3.710</w:t>
      </w:r>
      <w:r w:rsidRPr="00EF598B">
        <w:rPr>
          <w:rFonts w:ascii="Arial" w:hAnsi="Arial" w:cs="Arial"/>
        </w:rPr>
        <w:t xml:space="preserve"> por variação no preço</w:t>
      </w:r>
      <w:bookmarkEnd w:id="24"/>
      <w:bookmarkEnd w:id="25"/>
      <w:r w:rsidRPr="00EF598B">
        <w:rPr>
          <w:rFonts w:ascii="Arial" w:hAnsi="Arial" w:cs="Arial"/>
        </w:rPr>
        <w:t xml:space="preserve"> do gás. Como a CEGÁS mantém um contrato com o seu cliente </w:t>
      </w:r>
      <w:proofErr w:type="spellStart"/>
      <w:r w:rsidRPr="00EF598B">
        <w:rPr>
          <w:rFonts w:ascii="Arial" w:hAnsi="Arial" w:cs="Arial"/>
        </w:rPr>
        <w:t>Termofortaleza</w:t>
      </w:r>
      <w:proofErr w:type="spellEnd"/>
      <w:r w:rsidRPr="00EF598B">
        <w:rPr>
          <w:rFonts w:ascii="Arial" w:hAnsi="Arial" w:cs="Arial"/>
        </w:rPr>
        <w:t xml:space="preserve">, nos mesmos moldes do seu contrato com a Petrobras, existe adiantamento pago pela </w:t>
      </w:r>
      <w:proofErr w:type="spellStart"/>
      <w:r w:rsidRPr="00EF598B">
        <w:rPr>
          <w:rFonts w:ascii="Arial" w:hAnsi="Arial" w:cs="Arial"/>
        </w:rPr>
        <w:t>Termofortaleza</w:t>
      </w:r>
      <w:proofErr w:type="spellEnd"/>
      <w:r w:rsidRPr="00EF598B">
        <w:rPr>
          <w:rFonts w:ascii="Arial" w:hAnsi="Arial" w:cs="Arial"/>
        </w:rPr>
        <w:t xml:space="preserve"> à Companhia no montante d</w:t>
      </w:r>
      <w:r w:rsidRPr="000D34B5">
        <w:rPr>
          <w:rFonts w:ascii="Arial" w:hAnsi="Arial" w:cs="Arial"/>
        </w:rPr>
        <w:t xml:space="preserve">e R$ </w:t>
      </w:r>
      <w:r w:rsidR="00781398" w:rsidRPr="000D34B5">
        <w:rPr>
          <w:rFonts w:ascii="Arial" w:hAnsi="Arial" w:cs="Arial"/>
        </w:rPr>
        <w:t>35</w:t>
      </w:r>
      <w:r w:rsidR="008D1E0B" w:rsidRPr="000D34B5">
        <w:rPr>
          <w:rFonts w:ascii="Arial" w:hAnsi="Arial" w:cs="Arial"/>
        </w:rPr>
        <w:t>.</w:t>
      </w:r>
      <w:r w:rsidR="00781398" w:rsidRPr="000D34B5">
        <w:rPr>
          <w:rFonts w:ascii="Arial" w:hAnsi="Arial" w:cs="Arial"/>
        </w:rPr>
        <w:t>134</w:t>
      </w:r>
      <w:r w:rsidRPr="000D34B5">
        <w:rPr>
          <w:rFonts w:ascii="Arial" w:hAnsi="Arial" w:cs="Arial"/>
        </w:rPr>
        <w:t xml:space="preserve">, acrescida da margem de comercialização da CEGÁS no valor R$ </w:t>
      </w:r>
      <w:r w:rsidR="00BE034C" w:rsidRPr="000D34B5">
        <w:rPr>
          <w:rFonts w:ascii="Arial" w:hAnsi="Arial" w:cs="Arial"/>
        </w:rPr>
        <w:t>5</w:t>
      </w:r>
      <w:r w:rsidR="00491426" w:rsidRPr="000D34B5">
        <w:rPr>
          <w:rFonts w:ascii="Arial" w:hAnsi="Arial" w:cs="Arial"/>
        </w:rPr>
        <w:t>.</w:t>
      </w:r>
      <w:r w:rsidR="00BE034C" w:rsidRPr="000D34B5">
        <w:rPr>
          <w:rFonts w:ascii="Arial" w:hAnsi="Arial" w:cs="Arial"/>
        </w:rPr>
        <w:t>338</w:t>
      </w:r>
      <w:r w:rsidRPr="000D34B5">
        <w:rPr>
          <w:rFonts w:ascii="Arial" w:hAnsi="Arial" w:cs="Arial"/>
        </w:rPr>
        <w:t xml:space="preserve"> e da </w:t>
      </w:r>
      <w:bookmarkStart w:id="26" w:name="OLE_LINK217"/>
      <w:bookmarkStart w:id="27" w:name="OLE_LINK218"/>
      <w:r w:rsidRPr="000D34B5">
        <w:rPr>
          <w:rFonts w:ascii="Arial" w:hAnsi="Arial" w:cs="Arial"/>
        </w:rPr>
        <w:t xml:space="preserve">atualização por variação de preço do gás no montante de </w:t>
      </w:r>
      <w:bookmarkEnd w:id="26"/>
      <w:bookmarkEnd w:id="27"/>
      <w:r w:rsidRPr="000D34B5">
        <w:rPr>
          <w:rFonts w:ascii="Arial" w:hAnsi="Arial" w:cs="Arial"/>
        </w:rPr>
        <w:t xml:space="preserve">R$ </w:t>
      </w:r>
      <w:r w:rsidR="00411555" w:rsidRPr="000D34B5">
        <w:rPr>
          <w:rFonts w:ascii="Arial" w:hAnsi="Arial" w:cs="Arial"/>
        </w:rPr>
        <w:t>3.710</w:t>
      </w:r>
      <w:r w:rsidRPr="000D34B5">
        <w:rPr>
          <w:rFonts w:ascii="Arial" w:hAnsi="Arial" w:cs="Arial"/>
        </w:rPr>
        <w:t xml:space="preserve">, configurando um valor a ser realizado no futuro de R$ </w:t>
      </w:r>
      <w:r w:rsidR="00955536" w:rsidRPr="000D34B5">
        <w:rPr>
          <w:rFonts w:ascii="Arial" w:hAnsi="Arial" w:cs="Arial"/>
        </w:rPr>
        <w:t>44</w:t>
      </w:r>
      <w:r w:rsidR="00491426" w:rsidRPr="000D34B5">
        <w:rPr>
          <w:rFonts w:ascii="Arial" w:hAnsi="Arial" w:cs="Arial"/>
        </w:rPr>
        <w:t>.</w:t>
      </w:r>
      <w:r w:rsidR="00955536" w:rsidRPr="000D34B5">
        <w:rPr>
          <w:rFonts w:ascii="Arial" w:hAnsi="Arial" w:cs="Arial"/>
        </w:rPr>
        <w:t>18</w:t>
      </w:r>
      <w:r w:rsidR="008D16B0" w:rsidRPr="000D34B5">
        <w:rPr>
          <w:rFonts w:ascii="Arial" w:hAnsi="Arial" w:cs="Arial"/>
        </w:rPr>
        <w:t>2</w:t>
      </w:r>
      <w:r w:rsidR="00620790" w:rsidRPr="000D34B5">
        <w:rPr>
          <w:rFonts w:ascii="Arial" w:hAnsi="Arial" w:cs="Arial"/>
        </w:rPr>
        <w:t xml:space="preserve"> (Nota 2</w:t>
      </w:r>
      <w:r w:rsidR="00390FD8">
        <w:rPr>
          <w:rFonts w:ascii="Arial" w:hAnsi="Arial" w:cs="Arial"/>
        </w:rPr>
        <w:t>1</w:t>
      </w:r>
      <w:r w:rsidR="00620790" w:rsidRPr="000D34B5">
        <w:rPr>
          <w:rFonts w:ascii="Arial" w:hAnsi="Arial" w:cs="Arial"/>
        </w:rPr>
        <w:t>)</w:t>
      </w:r>
      <w:r w:rsidRPr="000D34B5">
        <w:rPr>
          <w:rFonts w:ascii="Arial" w:hAnsi="Arial" w:cs="Arial"/>
        </w:rPr>
        <w:t>.</w:t>
      </w:r>
    </w:p>
    <w:p w14:paraId="371F5B66" w14:textId="1BF66292" w:rsidR="00E87A86" w:rsidRPr="003234C5" w:rsidRDefault="00E87A86" w:rsidP="00E87A86">
      <w:pPr>
        <w:autoSpaceDE w:val="0"/>
        <w:autoSpaceDN w:val="0"/>
        <w:adjustRightInd w:val="0"/>
        <w:jc w:val="both"/>
        <w:rPr>
          <w:rFonts w:ascii="Arial" w:hAnsi="Arial" w:cs="Arial"/>
        </w:rPr>
      </w:pPr>
      <w:proofErr w:type="spellStart"/>
      <w:r w:rsidRPr="003234C5">
        <w:rPr>
          <w:rFonts w:ascii="Arial" w:hAnsi="Arial" w:cs="Arial"/>
        </w:rPr>
        <w:t>ii</w:t>
      </w:r>
      <w:proofErr w:type="spellEnd"/>
      <w:r w:rsidRPr="003234C5">
        <w:rPr>
          <w:rFonts w:ascii="Arial" w:hAnsi="Arial" w:cs="Arial"/>
        </w:rPr>
        <w:t>) Contrato Petrobras – Suprimento Geral</w:t>
      </w:r>
    </w:p>
    <w:p w14:paraId="0859DBB0" w14:textId="652B8228" w:rsidR="00DE13DE" w:rsidRPr="003234C5" w:rsidRDefault="00E87A86" w:rsidP="00E87A86">
      <w:pPr>
        <w:widowControl w:val="0"/>
        <w:autoSpaceDE w:val="0"/>
        <w:autoSpaceDN w:val="0"/>
        <w:adjustRightInd w:val="0"/>
        <w:jc w:val="both"/>
        <w:rPr>
          <w:rFonts w:ascii="Arial" w:hAnsi="Arial" w:cs="Arial"/>
        </w:rPr>
      </w:pPr>
      <w:r w:rsidRPr="003234C5">
        <w:rPr>
          <w:rFonts w:ascii="Arial" w:hAnsi="Arial" w:cs="Arial"/>
        </w:rPr>
        <w:t xml:space="preserve">A Companhia ainda possui um compromisso com a Petrobras de compra de quantidades anuais de gás natural, o Contrato Firme Inflexível, na ordem 520.000 m³/ dia. Até o último ano de vigência deste contrato, a Companhia está sujeita à antecipação de valores ao supridor, no caso de os volumes de compras serem inferiores aos pactuados. </w:t>
      </w:r>
      <w:r w:rsidRPr="00653B8E">
        <w:rPr>
          <w:rFonts w:ascii="Arial" w:hAnsi="Arial" w:cs="Arial"/>
        </w:rPr>
        <w:t xml:space="preserve">Em </w:t>
      </w:r>
      <w:r w:rsidR="00F77F2B" w:rsidRPr="00653B8E">
        <w:rPr>
          <w:rFonts w:ascii="Arial" w:hAnsi="Arial" w:cs="Arial"/>
        </w:rPr>
        <w:t>3</w:t>
      </w:r>
      <w:r w:rsidR="00FF00D0" w:rsidRPr="00653B8E">
        <w:rPr>
          <w:rFonts w:ascii="Arial" w:hAnsi="Arial" w:cs="Arial"/>
        </w:rPr>
        <w:t>1</w:t>
      </w:r>
      <w:r w:rsidR="00F77F2B" w:rsidRPr="00653B8E">
        <w:rPr>
          <w:rFonts w:ascii="Arial" w:hAnsi="Arial" w:cs="Arial"/>
        </w:rPr>
        <w:t xml:space="preserve"> de </w:t>
      </w:r>
      <w:r w:rsidR="00FF00D0" w:rsidRPr="00653B8E">
        <w:rPr>
          <w:rFonts w:ascii="Arial" w:hAnsi="Arial" w:cs="Arial"/>
        </w:rPr>
        <w:t>dezembro</w:t>
      </w:r>
      <w:r w:rsidR="00F77F2B" w:rsidRPr="00653B8E">
        <w:rPr>
          <w:rFonts w:ascii="Arial" w:hAnsi="Arial" w:cs="Arial"/>
        </w:rPr>
        <w:t xml:space="preserve"> de </w:t>
      </w:r>
      <w:r w:rsidRPr="00653B8E">
        <w:rPr>
          <w:rFonts w:ascii="Arial" w:hAnsi="Arial" w:cs="Arial"/>
        </w:rPr>
        <w:t>201</w:t>
      </w:r>
      <w:r w:rsidR="00F77F2B" w:rsidRPr="00653B8E">
        <w:rPr>
          <w:rFonts w:ascii="Arial" w:hAnsi="Arial" w:cs="Arial"/>
        </w:rPr>
        <w:t>9</w:t>
      </w:r>
      <w:r w:rsidR="00FF00D0">
        <w:rPr>
          <w:rFonts w:ascii="Arial" w:hAnsi="Arial" w:cs="Arial"/>
        </w:rPr>
        <w:t xml:space="preserve"> foram recuperados todos os valores de adiantamentos </w:t>
      </w:r>
      <w:r w:rsidR="00653B8E">
        <w:rPr>
          <w:rFonts w:ascii="Arial" w:hAnsi="Arial" w:cs="Arial"/>
        </w:rPr>
        <w:t>em aberto referente ao contrato de Suprimento Geral.</w:t>
      </w:r>
    </w:p>
    <w:p w14:paraId="28BBAA86" w14:textId="31220A26" w:rsidR="00200682" w:rsidRPr="003234C5" w:rsidRDefault="00200682" w:rsidP="00200682">
      <w:pPr>
        <w:widowControl w:val="0"/>
        <w:jc w:val="both"/>
        <w:rPr>
          <w:rFonts w:ascii="Arial" w:hAnsi="Arial" w:cs="Arial"/>
          <w:b/>
        </w:rPr>
      </w:pPr>
      <w:r w:rsidRPr="003234C5">
        <w:rPr>
          <w:rFonts w:ascii="Arial" w:hAnsi="Arial" w:cs="Arial"/>
          <w:b/>
        </w:rPr>
        <w:t>NOTA 1</w:t>
      </w:r>
      <w:r w:rsidR="00176863" w:rsidRPr="003234C5">
        <w:rPr>
          <w:rFonts w:ascii="Arial" w:hAnsi="Arial" w:cs="Arial"/>
          <w:b/>
        </w:rPr>
        <w:t>4</w:t>
      </w:r>
      <w:r w:rsidRPr="003234C5">
        <w:rPr>
          <w:rFonts w:ascii="Arial" w:hAnsi="Arial" w:cs="Arial"/>
          <w:b/>
        </w:rPr>
        <w:t>. DEPÓSITOS JUDICIAIS</w:t>
      </w:r>
    </w:p>
    <w:p w14:paraId="4289AF18" w14:textId="77777777" w:rsidR="00200682" w:rsidRPr="003234C5" w:rsidRDefault="00200682" w:rsidP="00200682">
      <w:pPr>
        <w:rPr>
          <w:rFonts w:ascii="Arial" w:hAnsi="Arial" w:cs="Arial"/>
        </w:rPr>
      </w:pPr>
      <w:r w:rsidRPr="003234C5">
        <w:rPr>
          <w:rFonts w:ascii="Arial" w:hAnsi="Arial" w:cs="Arial"/>
        </w:rPr>
        <w:t xml:space="preserve">Os saldos dos depósitos judiciais estão assim demonstrados: </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9"/>
        <w:gridCol w:w="1134"/>
        <w:gridCol w:w="1110"/>
      </w:tblGrid>
      <w:tr w:rsidR="00F77F2B" w:rsidRPr="003234C5" w14:paraId="25F2F245" w14:textId="77777777" w:rsidTr="00C3673E">
        <w:trPr>
          <w:trHeight w:val="227"/>
          <w:jc w:val="center"/>
        </w:trPr>
        <w:tc>
          <w:tcPr>
            <w:tcW w:w="6799" w:type="dxa"/>
            <w:shd w:val="clear" w:color="auto" w:fill="C0C0C0"/>
            <w:vAlign w:val="center"/>
          </w:tcPr>
          <w:p w14:paraId="370F1272" w14:textId="58532B75" w:rsidR="00F77F2B" w:rsidRPr="003234C5" w:rsidRDefault="00F77F2B" w:rsidP="00F77F2B">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NÃO CIRCULANTE</w:t>
            </w:r>
          </w:p>
        </w:tc>
        <w:tc>
          <w:tcPr>
            <w:tcW w:w="1134" w:type="dxa"/>
            <w:shd w:val="clear" w:color="auto" w:fill="C0C0C0"/>
            <w:vAlign w:val="bottom"/>
          </w:tcPr>
          <w:p w14:paraId="58437A60" w14:textId="24AC7D30" w:rsidR="00F77F2B" w:rsidRPr="003234C5" w:rsidRDefault="00C6257E" w:rsidP="00F77F2B">
            <w:pPr>
              <w:spacing w:after="0"/>
              <w:jc w:val="center"/>
              <w:rPr>
                <w:rFonts w:ascii="Arial" w:hAnsi="Arial" w:cs="Arial"/>
                <w:b/>
                <w:bCs/>
                <w:color w:val="000000"/>
                <w:sz w:val="20"/>
                <w:szCs w:val="20"/>
              </w:rPr>
            </w:pPr>
            <w:r>
              <w:rPr>
                <w:rFonts w:ascii="Arial" w:hAnsi="Arial" w:cs="Arial"/>
                <w:b/>
                <w:bCs/>
                <w:color w:val="000000"/>
                <w:sz w:val="20"/>
                <w:szCs w:val="20"/>
              </w:rPr>
              <w:t>2019</w:t>
            </w:r>
          </w:p>
        </w:tc>
        <w:tc>
          <w:tcPr>
            <w:tcW w:w="1110" w:type="dxa"/>
            <w:shd w:val="clear" w:color="auto" w:fill="C0C0C0"/>
            <w:vAlign w:val="bottom"/>
          </w:tcPr>
          <w:p w14:paraId="2FBAA259" w14:textId="7BB45DA0" w:rsidR="00F77F2B" w:rsidRPr="003234C5" w:rsidRDefault="00C6257E" w:rsidP="00F77F2B">
            <w:pPr>
              <w:spacing w:after="0"/>
              <w:jc w:val="center"/>
              <w:rPr>
                <w:rFonts w:ascii="Arial" w:hAnsi="Arial" w:cs="Arial"/>
                <w:b/>
                <w:bCs/>
                <w:color w:val="000000"/>
                <w:sz w:val="20"/>
                <w:szCs w:val="20"/>
              </w:rPr>
            </w:pPr>
            <w:r>
              <w:rPr>
                <w:rFonts w:ascii="Arial" w:hAnsi="Arial" w:cs="Arial"/>
                <w:b/>
                <w:bCs/>
                <w:color w:val="000000"/>
                <w:sz w:val="20"/>
                <w:szCs w:val="20"/>
              </w:rPr>
              <w:t>2018</w:t>
            </w:r>
          </w:p>
        </w:tc>
      </w:tr>
      <w:tr w:rsidR="00F006BF" w:rsidRPr="003234C5" w14:paraId="1DF0B1A7" w14:textId="77777777" w:rsidTr="00C3673E">
        <w:trPr>
          <w:trHeight w:val="227"/>
          <w:jc w:val="center"/>
        </w:trPr>
        <w:tc>
          <w:tcPr>
            <w:tcW w:w="6799" w:type="dxa"/>
            <w:shd w:val="clear" w:color="auto" w:fill="FFFFFF"/>
            <w:vAlign w:val="bottom"/>
          </w:tcPr>
          <w:p w14:paraId="744514E9" w14:textId="44508BAA" w:rsidR="00F006BF" w:rsidRPr="003234C5" w:rsidRDefault="00F006BF" w:rsidP="00F006BF">
            <w:pPr>
              <w:spacing w:after="0"/>
              <w:jc w:val="both"/>
              <w:rPr>
                <w:rFonts w:ascii="Arial" w:hAnsi="Arial" w:cs="Arial"/>
                <w:bCs/>
                <w:sz w:val="20"/>
                <w:szCs w:val="20"/>
              </w:rPr>
            </w:pPr>
            <w:bookmarkStart w:id="28" w:name="_Hlk506297844"/>
            <w:r w:rsidRPr="003234C5">
              <w:rPr>
                <w:rFonts w:ascii="Arial" w:hAnsi="Arial" w:cs="Arial"/>
                <w:bCs/>
                <w:sz w:val="20"/>
                <w:szCs w:val="20"/>
              </w:rPr>
              <w:t xml:space="preserve">Prefeitura Municipal de Fortaleza </w:t>
            </w:r>
            <w:r w:rsidR="00826552">
              <w:rPr>
                <w:rFonts w:ascii="Arial" w:hAnsi="Arial" w:cs="Arial"/>
                <w:bCs/>
                <w:sz w:val="20"/>
                <w:szCs w:val="20"/>
              </w:rPr>
              <w:t>(1)</w:t>
            </w:r>
          </w:p>
        </w:tc>
        <w:tc>
          <w:tcPr>
            <w:tcW w:w="1134" w:type="dxa"/>
            <w:shd w:val="clear" w:color="auto" w:fill="FFFFFF"/>
            <w:vAlign w:val="center"/>
          </w:tcPr>
          <w:p w14:paraId="1940124D" w14:textId="62838123" w:rsidR="00F006BF" w:rsidRPr="003234C5" w:rsidRDefault="00B87A48" w:rsidP="00F006BF">
            <w:pPr>
              <w:spacing w:after="0"/>
              <w:jc w:val="right"/>
              <w:rPr>
                <w:rFonts w:ascii="Arial" w:hAnsi="Arial" w:cs="Arial"/>
                <w:sz w:val="20"/>
                <w:szCs w:val="20"/>
              </w:rPr>
            </w:pPr>
            <w:r>
              <w:rPr>
                <w:rFonts w:ascii="Arial" w:hAnsi="Arial" w:cs="Arial"/>
                <w:sz w:val="20"/>
                <w:szCs w:val="20"/>
              </w:rPr>
              <w:t>10.879</w:t>
            </w:r>
          </w:p>
        </w:tc>
        <w:tc>
          <w:tcPr>
            <w:tcW w:w="1110" w:type="dxa"/>
            <w:shd w:val="clear" w:color="auto" w:fill="FFFFFF"/>
            <w:vAlign w:val="center"/>
          </w:tcPr>
          <w:p w14:paraId="4A0ADDED" w14:textId="54AE4E71" w:rsidR="00F006BF" w:rsidRPr="003234C5" w:rsidRDefault="00F006BF" w:rsidP="00F006BF">
            <w:pPr>
              <w:spacing w:after="0"/>
              <w:jc w:val="right"/>
              <w:rPr>
                <w:rFonts w:ascii="Arial" w:hAnsi="Arial" w:cs="Arial"/>
                <w:sz w:val="20"/>
                <w:szCs w:val="20"/>
              </w:rPr>
            </w:pPr>
            <w:r w:rsidRPr="003234C5">
              <w:rPr>
                <w:rFonts w:ascii="Arial" w:hAnsi="Arial" w:cs="Arial"/>
                <w:color w:val="000000"/>
                <w:sz w:val="20"/>
                <w:szCs w:val="20"/>
              </w:rPr>
              <w:t>10.275</w:t>
            </w:r>
          </w:p>
        </w:tc>
      </w:tr>
      <w:tr w:rsidR="00F006BF" w:rsidRPr="003234C5" w14:paraId="6ECF7666" w14:textId="77777777" w:rsidTr="00C3673E">
        <w:trPr>
          <w:trHeight w:val="227"/>
          <w:jc w:val="center"/>
        </w:trPr>
        <w:tc>
          <w:tcPr>
            <w:tcW w:w="6799" w:type="dxa"/>
            <w:shd w:val="clear" w:color="auto" w:fill="FFFFFF"/>
            <w:vAlign w:val="bottom"/>
          </w:tcPr>
          <w:p w14:paraId="35DC245E" w14:textId="779A051D" w:rsidR="00F006BF" w:rsidRPr="003234C5" w:rsidRDefault="00F006BF" w:rsidP="00F006BF">
            <w:pPr>
              <w:spacing w:after="0"/>
              <w:jc w:val="both"/>
              <w:rPr>
                <w:rFonts w:ascii="Arial" w:hAnsi="Arial" w:cs="Arial"/>
                <w:bCs/>
                <w:sz w:val="20"/>
                <w:szCs w:val="20"/>
              </w:rPr>
            </w:pPr>
            <w:r w:rsidRPr="003234C5">
              <w:rPr>
                <w:rFonts w:ascii="Arial" w:hAnsi="Arial" w:cs="Arial"/>
                <w:bCs/>
                <w:sz w:val="20"/>
                <w:szCs w:val="20"/>
              </w:rPr>
              <w:t xml:space="preserve">PIS sobre faturamento </w:t>
            </w:r>
            <w:r w:rsidR="00826552">
              <w:rPr>
                <w:rFonts w:ascii="Arial" w:hAnsi="Arial" w:cs="Arial"/>
                <w:bCs/>
                <w:sz w:val="20"/>
                <w:szCs w:val="20"/>
              </w:rPr>
              <w:t>(2)</w:t>
            </w:r>
          </w:p>
        </w:tc>
        <w:tc>
          <w:tcPr>
            <w:tcW w:w="1134" w:type="dxa"/>
            <w:shd w:val="clear" w:color="auto" w:fill="FFFFFF"/>
            <w:vAlign w:val="center"/>
          </w:tcPr>
          <w:p w14:paraId="596BF5AD" w14:textId="20CCB61F" w:rsidR="00F006BF" w:rsidRPr="003234C5" w:rsidRDefault="00AF7773" w:rsidP="00F006BF">
            <w:pPr>
              <w:spacing w:after="0"/>
              <w:jc w:val="right"/>
              <w:rPr>
                <w:rFonts w:ascii="Arial" w:hAnsi="Arial" w:cs="Arial"/>
                <w:sz w:val="20"/>
                <w:szCs w:val="20"/>
              </w:rPr>
            </w:pPr>
            <w:r>
              <w:rPr>
                <w:rFonts w:ascii="Arial" w:hAnsi="Arial" w:cs="Arial"/>
                <w:sz w:val="20"/>
                <w:szCs w:val="20"/>
              </w:rPr>
              <w:t>6.747</w:t>
            </w:r>
          </w:p>
        </w:tc>
        <w:tc>
          <w:tcPr>
            <w:tcW w:w="1110" w:type="dxa"/>
            <w:shd w:val="clear" w:color="auto" w:fill="FFFFFF"/>
            <w:vAlign w:val="center"/>
          </w:tcPr>
          <w:p w14:paraId="1DBCCB49" w14:textId="3ECFAB83" w:rsidR="00F006BF" w:rsidRPr="003234C5" w:rsidRDefault="00F006BF" w:rsidP="00F006BF">
            <w:pPr>
              <w:spacing w:after="0"/>
              <w:jc w:val="right"/>
              <w:rPr>
                <w:rFonts w:ascii="Arial" w:hAnsi="Arial" w:cs="Arial"/>
                <w:sz w:val="20"/>
                <w:szCs w:val="20"/>
              </w:rPr>
            </w:pPr>
            <w:r w:rsidRPr="003234C5">
              <w:rPr>
                <w:rFonts w:ascii="Arial" w:hAnsi="Arial" w:cs="Arial"/>
                <w:color w:val="000000"/>
                <w:sz w:val="20"/>
                <w:szCs w:val="20"/>
              </w:rPr>
              <w:t>6.049</w:t>
            </w:r>
          </w:p>
        </w:tc>
      </w:tr>
      <w:tr w:rsidR="00F006BF" w:rsidRPr="003234C5" w14:paraId="72D90857" w14:textId="77777777" w:rsidTr="00C3673E">
        <w:trPr>
          <w:trHeight w:val="227"/>
          <w:jc w:val="center"/>
        </w:trPr>
        <w:tc>
          <w:tcPr>
            <w:tcW w:w="6799" w:type="dxa"/>
            <w:shd w:val="clear" w:color="auto" w:fill="FFFFFF"/>
            <w:vAlign w:val="bottom"/>
          </w:tcPr>
          <w:p w14:paraId="27FE20D1" w14:textId="598FE727" w:rsidR="00F006BF" w:rsidRPr="003234C5" w:rsidRDefault="00F006BF" w:rsidP="00F006BF">
            <w:pPr>
              <w:spacing w:after="0"/>
              <w:jc w:val="both"/>
              <w:rPr>
                <w:rFonts w:ascii="Arial" w:hAnsi="Arial" w:cs="Arial"/>
                <w:bCs/>
                <w:sz w:val="20"/>
                <w:szCs w:val="20"/>
              </w:rPr>
            </w:pPr>
            <w:r w:rsidRPr="003234C5">
              <w:rPr>
                <w:rFonts w:ascii="Arial" w:hAnsi="Arial" w:cs="Arial"/>
                <w:bCs/>
                <w:sz w:val="20"/>
                <w:szCs w:val="20"/>
              </w:rPr>
              <w:t xml:space="preserve">COFINS sobre faturamento </w:t>
            </w:r>
            <w:r w:rsidR="00826552">
              <w:rPr>
                <w:rFonts w:ascii="Arial" w:hAnsi="Arial" w:cs="Arial"/>
                <w:bCs/>
                <w:sz w:val="20"/>
                <w:szCs w:val="20"/>
              </w:rPr>
              <w:t>(2)</w:t>
            </w:r>
          </w:p>
        </w:tc>
        <w:tc>
          <w:tcPr>
            <w:tcW w:w="1134" w:type="dxa"/>
            <w:shd w:val="clear" w:color="auto" w:fill="FFFFFF"/>
            <w:vAlign w:val="center"/>
          </w:tcPr>
          <w:p w14:paraId="5B3DABD8" w14:textId="5CEF00DC" w:rsidR="00F006BF" w:rsidRPr="003234C5" w:rsidRDefault="00D13FBF" w:rsidP="00F006BF">
            <w:pPr>
              <w:spacing w:after="0"/>
              <w:jc w:val="right"/>
              <w:rPr>
                <w:rFonts w:ascii="Arial" w:hAnsi="Arial" w:cs="Arial"/>
                <w:sz w:val="20"/>
                <w:szCs w:val="20"/>
              </w:rPr>
            </w:pPr>
            <w:r>
              <w:rPr>
                <w:rFonts w:ascii="Arial" w:hAnsi="Arial" w:cs="Arial"/>
                <w:sz w:val="20"/>
                <w:szCs w:val="20"/>
              </w:rPr>
              <w:t>29.640</w:t>
            </w:r>
          </w:p>
        </w:tc>
        <w:tc>
          <w:tcPr>
            <w:tcW w:w="1110" w:type="dxa"/>
            <w:shd w:val="clear" w:color="auto" w:fill="FFFFFF"/>
            <w:vAlign w:val="center"/>
          </w:tcPr>
          <w:p w14:paraId="67F666F7" w14:textId="6C9FF22E" w:rsidR="00F006BF" w:rsidRPr="003234C5" w:rsidRDefault="00F006BF" w:rsidP="00F006BF">
            <w:pPr>
              <w:spacing w:after="0"/>
              <w:jc w:val="right"/>
              <w:rPr>
                <w:rFonts w:ascii="Arial" w:hAnsi="Arial" w:cs="Arial"/>
                <w:sz w:val="20"/>
                <w:szCs w:val="20"/>
              </w:rPr>
            </w:pPr>
            <w:r w:rsidRPr="003234C5">
              <w:rPr>
                <w:rFonts w:ascii="Arial" w:hAnsi="Arial" w:cs="Arial"/>
                <w:color w:val="000000"/>
                <w:sz w:val="20"/>
                <w:szCs w:val="20"/>
              </w:rPr>
              <w:t>26.428</w:t>
            </w:r>
          </w:p>
        </w:tc>
      </w:tr>
      <w:tr w:rsidR="00F006BF" w:rsidRPr="003234C5" w14:paraId="6344405E" w14:textId="77777777" w:rsidTr="00C3673E">
        <w:trPr>
          <w:trHeight w:val="227"/>
          <w:jc w:val="center"/>
        </w:trPr>
        <w:tc>
          <w:tcPr>
            <w:tcW w:w="6799" w:type="dxa"/>
            <w:shd w:val="clear" w:color="auto" w:fill="auto"/>
            <w:vAlign w:val="bottom"/>
          </w:tcPr>
          <w:p w14:paraId="0B21E00E" w14:textId="77777777" w:rsidR="00F006BF" w:rsidRPr="003234C5" w:rsidRDefault="00F006BF" w:rsidP="00F006BF">
            <w:pPr>
              <w:spacing w:after="0"/>
              <w:jc w:val="both"/>
              <w:rPr>
                <w:rFonts w:ascii="Arial" w:hAnsi="Arial" w:cs="Arial"/>
                <w:bCs/>
                <w:sz w:val="20"/>
                <w:szCs w:val="20"/>
              </w:rPr>
            </w:pPr>
            <w:r w:rsidRPr="003234C5">
              <w:rPr>
                <w:rFonts w:ascii="Arial" w:hAnsi="Arial" w:cs="Arial"/>
                <w:bCs/>
                <w:sz w:val="20"/>
                <w:szCs w:val="20"/>
              </w:rPr>
              <w:t>Ação Trabalhista – Depósitos Recursais</w:t>
            </w:r>
          </w:p>
        </w:tc>
        <w:tc>
          <w:tcPr>
            <w:tcW w:w="1134" w:type="dxa"/>
            <w:vAlign w:val="center"/>
          </w:tcPr>
          <w:p w14:paraId="2D9D22AC" w14:textId="39DF65E0" w:rsidR="00F006BF" w:rsidRPr="003234C5" w:rsidRDefault="0093220F" w:rsidP="00F006BF">
            <w:pPr>
              <w:spacing w:after="0"/>
              <w:jc w:val="right"/>
              <w:rPr>
                <w:rFonts w:ascii="Arial" w:hAnsi="Arial" w:cs="Arial"/>
                <w:sz w:val="20"/>
                <w:szCs w:val="20"/>
              </w:rPr>
            </w:pPr>
            <w:r>
              <w:rPr>
                <w:rFonts w:ascii="Arial" w:hAnsi="Arial" w:cs="Arial"/>
                <w:sz w:val="20"/>
                <w:szCs w:val="20"/>
              </w:rPr>
              <w:t>90</w:t>
            </w:r>
          </w:p>
        </w:tc>
        <w:tc>
          <w:tcPr>
            <w:tcW w:w="1110" w:type="dxa"/>
            <w:shd w:val="clear" w:color="auto" w:fill="auto"/>
            <w:vAlign w:val="center"/>
          </w:tcPr>
          <w:p w14:paraId="0047F30F" w14:textId="7E97492C" w:rsidR="00F006BF" w:rsidRPr="003234C5" w:rsidRDefault="00F006BF" w:rsidP="00F006BF">
            <w:pPr>
              <w:spacing w:after="0"/>
              <w:jc w:val="right"/>
              <w:rPr>
                <w:rFonts w:ascii="Arial" w:hAnsi="Arial" w:cs="Arial"/>
                <w:sz w:val="20"/>
                <w:szCs w:val="20"/>
              </w:rPr>
            </w:pPr>
            <w:r w:rsidRPr="003234C5">
              <w:rPr>
                <w:rFonts w:ascii="Arial" w:hAnsi="Arial" w:cs="Arial"/>
                <w:color w:val="000000"/>
                <w:sz w:val="20"/>
                <w:szCs w:val="20"/>
              </w:rPr>
              <w:t>68</w:t>
            </w:r>
          </w:p>
        </w:tc>
      </w:tr>
      <w:tr w:rsidR="00F006BF" w:rsidRPr="003234C5" w14:paraId="794DB8ED" w14:textId="77777777" w:rsidTr="00C3673E">
        <w:trPr>
          <w:trHeight w:val="227"/>
          <w:jc w:val="center"/>
        </w:trPr>
        <w:tc>
          <w:tcPr>
            <w:tcW w:w="6799" w:type="dxa"/>
            <w:shd w:val="clear" w:color="auto" w:fill="auto"/>
            <w:vAlign w:val="bottom"/>
          </w:tcPr>
          <w:p w14:paraId="4C663FA6" w14:textId="01420C9D" w:rsidR="00F006BF" w:rsidRPr="003234C5" w:rsidRDefault="00F006BF" w:rsidP="00F006BF">
            <w:pPr>
              <w:spacing w:after="0"/>
              <w:jc w:val="both"/>
              <w:rPr>
                <w:rFonts w:ascii="Arial" w:hAnsi="Arial" w:cs="Arial"/>
                <w:bCs/>
                <w:sz w:val="20"/>
                <w:szCs w:val="20"/>
              </w:rPr>
            </w:pPr>
            <w:r w:rsidRPr="003234C5">
              <w:rPr>
                <w:rFonts w:ascii="Arial" w:hAnsi="Arial" w:cs="Arial"/>
                <w:bCs/>
                <w:sz w:val="20"/>
                <w:szCs w:val="20"/>
              </w:rPr>
              <w:t>Órgãos Reguladores – ANP</w:t>
            </w:r>
            <w:r w:rsidR="00826552">
              <w:rPr>
                <w:rFonts w:ascii="Arial" w:hAnsi="Arial" w:cs="Arial"/>
                <w:bCs/>
                <w:sz w:val="20"/>
                <w:szCs w:val="20"/>
              </w:rPr>
              <w:t xml:space="preserve"> (3)</w:t>
            </w:r>
          </w:p>
        </w:tc>
        <w:tc>
          <w:tcPr>
            <w:tcW w:w="1134" w:type="dxa"/>
            <w:vAlign w:val="center"/>
          </w:tcPr>
          <w:p w14:paraId="09A4A1F1" w14:textId="31FFFED1" w:rsidR="00F006BF" w:rsidRPr="003234C5" w:rsidRDefault="0093220F" w:rsidP="00F006BF">
            <w:pPr>
              <w:spacing w:after="0"/>
              <w:jc w:val="right"/>
              <w:rPr>
                <w:rFonts w:ascii="Arial" w:hAnsi="Arial" w:cs="Arial"/>
                <w:sz w:val="20"/>
                <w:szCs w:val="20"/>
              </w:rPr>
            </w:pPr>
            <w:r>
              <w:rPr>
                <w:rFonts w:ascii="Arial" w:hAnsi="Arial" w:cs="Arial"/>
                <w:sz w:val="20"/>
                <w:szCs w:val="20"/>
              </w:rPr>
              <w:t>280</w:t>
            </w:r>
          </w:p>
        </w:tc>
        <w:tc>
          <w:tcPr>
            <w:tcW w:w="1110" w:type="dxa"/>
            <w:shd w:val="clear" w:color="auto" w:fill="auto"/>
            <w:vAlign w:val="center"/>
          </w:tcPr>
          <w:p w14:paraId="0BE55DD7" w14:textId="1E3BC49A" w:rsidR="00F006BF" w:rsidRPr="003234C5" w:rsidRDefault="00F006BF" w:rsidP="00F006BF">
            <w:pPr>
              <w:spacing w:after="0"/>
              <w:jc w:val="right"/>
              <w:rPr>
                <w:rFonts w:ascii="Arial" w:hAnsi="Arial" w:cs="Arial"/>
                <w:sz w:val="20"/>
                <w:szCs w:val="20"/>
              </w:rPr>
            </w:pPr>
            <w:r w:rsidRPr="003234C5">
              <w:rPr>
                <w:rFonts w:ascii="Arial" w:hAnsi="Arial" w:cs="Arial"/>
                <w:color w:val="000000"/>
                <w:sz w:val="20"/>
                <w:szCs w:val="20"/>
              </w:rPr>
              <w:t>280</w:t>
            </w:r>
          </w:p>
        </w:tc>
      </w:tr>
      <w:tr w:rsidR="00F006BF" w:rsidRPr="003234C5" w14:paraId="41FD7ABF" w14:textId="77777777" w:rsidTr="00C3673E">
        <w:trPr>
          <w:trHeight w:val="227"/>
          <w:jc w:val="center"/>
        </w:trPr>
        <w:tc>
          <w:tcPr>
            <w:tcW w:w="6799" w:type="dxa"/>
            <w:shd w:val="clear" w:color="auto" w:fill="auto"/>
            <w:vAlign w:val="bottom"/>
          </w:tcPr>
          <w:p w14:paraId="35BC424D" w14:textId="77777777" w:rsidR="00F006BF" w:rsidRPr="003234C5" w:rsidRDefault="00F006BF" w:rsidP="00F006BF">
            <w:pPr>
              <w:spacing w:after="0"/>
              <w:jc w:val="both"/>
              <w:rPr>
                <w:rFonts w:ascii="Arial" w:hAnsi="Arial" w:cs="Arial"/>
                <w:bCs/>
                <w:sz w:val="20"/>
                <w:szCs w:val="20"/>
              </w:rPr>
            </w:pPr>
            <w:r w:rsidRPr="003234C5">
              <w:rPr>
                <w:rFonts w:ascii="Arial" w:hAnsi="Arial" w:cs="Arial"/>
                <w:bCs/>
                <w:sz w:val="20"/>
                <w:szCs w:val="20"/>
              </w:rPr>
              <w:t>Depósitos Judiciais Cíveis</w:t>
            </w:r>
          </w:p>
        </w:tc>
        <w:tc>
          <w:tcPr>
            <w:tcW w:w="1134" w:type="dxa"/>
            <w:vAlign w:val="center"/>
          </w:tcPr>
          <w:p w14:paraId="12485486" w14:textId="4ED6758A" w:rsidR="00F006BF" w:rsidRPr="003234C5" w:rsidRDefault="0093220F" w:rsidP="00F006BF">
            <w:pPr>
              <w:spacing w:after="0"/>
              <w:jc w:val="right"/>
              <w:rPr>
                <w:rFonts w:ascii="Arial" w:hAnsi="Arial" w:cs="Arial"/>
                <w:sz w:val="20"/>
                <w:szCs w:val="20"/>
              </w:rPr>
            </w:pPr>
            <w:r>
              <w:rPr>
                <w:rFonts w:ascii="Arial" w:hAnsi="Arial" w:cs="Arial"/>
                <w:sz w:val="20"/>
                <w:szCs w:val="20"/>
              </w:rPr>
              <w:t>152</w:t>
            </w:r>
          </w:p>
        </w:tc>
        <w:tc>
          <w:tcPr>
            <w:tcW w:w="1110" w:type="dxa"/>
            <w:shd w:val="clear" w:color="auto" w:fill="auto"/>
            <w:vAlign w:val="center"/>
          </w:tcPr>
          <w:p w14:paraId="7BDF5644" w14:textId="79BA2CAB" w:rsidR="00F006BF" w:rsidRPr="003234C5" w:rsidRDefault="00F006BF" w:rsidP="00F006BF">
            <w:pPr>
              <w:spacing w:after="0"/>
              <w:jc w:val="right"/>
              <w:rPr>
                <w:rFonts w:ascii="Arial" w:hAnsi="Arial" w:cs="Arial"/>
                <w:sz w:val="20"/>
                <w:szCs w:val="20"/>
              </w:rPr>
            </w:pPr>
            <w:r w:rsidRPr="003234C5">
              <w:rPr>
                <w:rFonts w:ascii="Arial" w:hAnsi="Arial" w:cs="Arial"/>
                <w:color w:val="000000"/>
                <w:sz w:val="20"/>
                <w:szCs w:val="20"/>
              </w:rPr>
              <w:t>152</w:t>
            </w:r>
          </w:p>
        </w:tc>
      </w:tr>
      <w:tr w:rsidR="00F006BF" w:rsidRPr="003234C5" w14:paraId="39937F5C" w14:textId="77777777" w:rsidTr="00C3673E">
        <w:trPr>
          <w:trHeight w:val="227"/>
          <w:jc w:val="center"/>
        </w:trPr>
        <w:tc>
          <w:tcPr>
            <w:tcW w:w="6799" w:type="dxa"/>
            <w:shd w:val="clear" w:color="auto" w:fill="auto"/>
            <w:vAlign w:val="bottom"/>
          </w:tcPr>
          <w:p w14:paraId="3152A548" w14:textId="0C5AA8BB" w:rsidR="00F006BF" w:rsidRPr="003234C5" w:rsidRDefault="00F006BF" w:rsidP="00F006BF">
            <w:pPr>
              <w:spacing w:after="0"/>
              <w:jc w:val="both"/>
              <w:rPr>
                <w:rFonts w:ascii="Arial" w:hAnsi="Arial" w:cs="Arial"/>
                <w:bCs/>
                <w:sz w:val="20"/>
                <w:szCs w:val="20"/>
              </w:rPr>
            </w:pPr>
            <w:r w:rsidRPr="003234C5">
              <w:rPr>
                <w:rFonts w:ascii="Arial" w:hAnsi="Arial" w:cs="Arial"/>
                <w:bCs/>
                <w:sz w:val="20"/>
                <w:szCs w:val="20"/>
              </w:rPr>
              <w:t xml:space="preserve">IRPJ Depósito </w:t>
            </w:r>
            <w:proofErr w:type="gramStart"/>
            <w:r w:rsidRPr="003234C5">
              <w:rPr>
                <w:rFonts w:ascii="Arial" w:hAnsi="Arial" w:cs="Arial"/>
                <w:bCs/>
                <w:sz w:val="20"/>
                <w:szCs w:val="20"/>
              </w:rPr>
              <w:t>Judicial</w:t>
            </w:r>
            <w:r w:rsidR="00826552">
              <w:rPr>
                <w:rFonts w:ascii="Arial" w:hAnsi="Arial" w:cs="Arial"/>
                <w:bCs/>
                <w:sz w:val="20"/>
                <w:szCs w:val="20"/>
              </w:rPr>
              <w:t>(</w:t>
            </w:r>
            <w:proofErr w:type="gramEnd"/>
            <w:r w:rsidR="00826552">
              <w:rPr>
                <w:rFonts w:ascii="Arial" w:hAnsi="Arial" w:cs="Arial"/>
                <w:bCs/>
                <w:sz w:val="20"/>
                <w:szCs w:val="20"/>
              </w:rPr>
              <w:t>4)</w:t>
            </w:r>
          </w:p>
        </w:tc>
        <w:tc>
          <w:tcPr>
            <w:tcW w:w="1134" w:type="dxa"/>
            <w:vAlign w:val="center"/>
          </w:tcPr>
          <w:p w14:paraId="4A9B7F91" w14:textId="7652BF13" w:rsidR="00F006BF" w:rsidRPr="003234C5" w:rsidRDefault="005F3F2A" w:rsidP="00F006BF">
            <w:pPr>
              <w:spacing w:after="0"/>
              <w:jc w:val="right"/>
              <w:rPr>
                <w:rFonts w:ascii="Arial" w:hAnsi="Arial" w:cs="Arial"/>
                <w:sz w:val="20"/>
                <w:szCs w:val="20"/>
              </w:rPr>
            </w:pPr>
            <w:r>
              <w:rPr>
                <w:rFonts w:ascii="Arial" w:hAnsi="Arial" w:cs="Arial"/>
                <w:sz w:val="20"/>
                <w:szCs w:val="20"/>
              </w:rPr>
              <w:t>761</w:t>
            </w:r>
          </w:p>
        </w:tc>
        <w:tc>
          <w:tcPr>
            <w:tcW w:w="1110" w:type="dxa"/>
            <w:shd w:val="clear" w:color="auto" w:fill="auto"/>
            <w:vAlign w:val="center"/>
          </w:tcPr>
          <w:p w14:paraId="4A79B14C" w14:textId="0344F657" w:rsidR="00F006BF" w:rsidRPr="003234C5" w:rsidRDefault="00F006BF" w:rsidP="00F006BF">
            <w:pPr>
              <w:spacing w:after="0"/>
              <w:jc w:val="right"/>
              <w:rPr>
                <w:rFonts w:ascii="Arial" w:hAnsi="Arial" w:cs="Arial"/>
                <w:color w:val="000000"/>
                <w:sz w:val="20"/>
                <w:szCs w:val="20"/>
              </w:rPr>
            </w:pPr>
            <w:r w:rsidRPr="003234C5">
              <w:rPr>
                <w:rFonts w:ascii="Arial" w:hAnsi="Arial" w:cs="Arial"/>
                <w:color w:val="000000"/>
                <w:sz w:val="20"/>
                <w:szCs w:val="20"/>
              </w:rPr>
              <w:t>761</w:t>
            </w:r>
          </w:p>
        </w:tc>
      </w:tr>
      <w:bookmarkEnd w:id="28"/>
      <w:tr w:rsidR="00F006BF" w:rsidRPr="003234C5" w14:paraId="236C6E9C" w14:textId="77777777" w:rsidTr="00C3673E">
        <w:trPr>
          <w:trHeight w:val="227"/>
          <w:jc w:val="center"/>
        </w:trPr>
        <w:tc>
          <w:tcPr>
            <w:tcW w:w="6799" w:type="dxa"/>
            <w:shd w:val="clear" w:color="auto" w:fill="C0C0C0"/>
            <w:vAlign w:val="center"/>
          </w:tcPr>
          <w:p w14:paraId="345AB798" w14:textId="77777777" w:rsidR="00F006BF" w:rsidRPr="003234C5" w:rsidRDefault="00F006BF" w:rsidP="00F006BF">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134" w:type="dxa"/>
            <w:shd w:val="clear" w:color="auto" w:fill="C0C0C0"/>
            <w:vAlign w:val="center"/>
          </w:tcPr>
          <w:p w14:paraId="174223A1" w14:textId="688F413A" w:rsidR="00F006BF" w:rsidRPr="00C104A4" w:rsidRDefault="00823FB4" w:rsidP="00F006BF">
            <w:pPr>
              <w:suppressAutoHyphens w:val="0"/>
              <w:spacing w:after="0" w:line="240" w:lineRule="auto"/>
              <w:jc w:val="right"/>
              <w:rPr>
                <w:rFonts w:ascii="Arial" w:eastAsia="Times New Roman" w:hAnsi="Arial" w:cs="Arial"/>
                <w:b/>
                <w:color w:val="000000"/>
                <w:kern w:val="0"/>
                <w:sz w:val="20"/>
                <w:szCs w:val="20"/>
                <w:lang w:eastAsia="pt-BR"/>
              </w:rPr>
            </w:pPr>
            <w:r w:rsidRPr="00C104A4">
              <w:rPr>
                <w:rFonts w:ascii="Arial" w:eastAsia="Times New Roman" w:hAnsi="Arial" w:cs="Arial"/>
                <w:b/>
                <w:color w:val="000000"/>
                <w:kern w:val="0"/>
                <w:sz w:val="20"/>
                <w:szCs w:val="20"/>
                <w:lang w:eastAsia="pt-BR"/>
              </w:rPr>
              <w:t>48.549</w:t>
            </w:r>
          </w:p>
        </w:tc>
        <w:tc>
          <w:tcPr>
            <w:tcW w:w="1110" w:type="dxa"/>
            <w:shd w:val="clear" w:color="auto" w:fill="C0C0C0"/>
            <w:vAlign w:val="center"/>
          </w:tcPr>
          <w:p w14:paraId="5F5D900F" w14:textId="15A59042" w:rsidR="00F006BF" w:rsidRPr="00C104A4" w:rsidRDefault="00F006BF" w:rsidP="00F006BF">
            <w:pPr>
              <w:spacing w:after="0"/>
              <w:jc w:val="right"/>
              <w:rPr>
                <w:rFonts w:ascii="Arial" w:hAnsi="Arial" w:cs="Arial"/>
                <w:b/>
                <w:sz w:val="20"/>
                <w:szCs w:val="20"/>
              </w:rPr>
            </w:pPr>
            <w:r w:rsidRPr="00C104A4">
              <w:rPr>
                <w:rFonts w:ascii="Arial" w:hAnsi="Arial" w:cs="Arial"/>
                <w:b/>
                <w:bCs/>
                <w:sz w:val="20"/>
                <w:szCs w:val="20"/>
              </w:rPr>
              <w:t>44.013</w:t>
            </w:r>
          </w:p>
        </w:tc>
      </w:tr>
    </w:tbl>
    <w:p w14:paraId="6539A2EB" w14:textId="77777777" w:rsidR="00FE11AA" w:rsidRPr="003234C5" w:rsidRDefault="00FE11AA" w:rsidP="00200682">
      <w:pPr>
        <w:autoSpaceDE w:val="0"/>
        <w:autoSpaceDN w:val="0"/>
        <w:adjustRightInd w:val="0"/>
        <w:jc w:val="both"/>
        <w:rPr>
          <w:rFonts w:ascii="Arial" w:hAnsi="Arial" w:cs="Arial"/>
          <w:sz w:val="24"/>
          <w:szCs w:val="24"/>
        </w:rPr>
      </w:pPr>
    </w:p>
    <w:p w14:paraId="456C3836" w14:textId="4914AF48" w:rsidR="00200682" w:rsidRPr="003234C5" w:rsidRDefault="00826552" w:rsidP="00200682">
      <w:pPr>
        <w:autoSpaceDE w:val="0"/>
        <w:autoSpaceDN w:val="0"/>
        <w:adjustRightInd w:val="0"/>
        <w:jc w:val="both"/>
        <w:rPr>
          <w:rFonts w:ascii="Arial" w:hAnsi="Arial" w:cs="Arial"/>
        </w:rPr>
      </w:pPr>
      <w:r>
        <w:rPr>
          <w:rFonts w:ascii="Arial" w:hAnsi="Arial" w:cs="Arial"/>
        </w:rPr>
        <w:lastRenderedPageBreak/>
        <w:t xml:space="preserve">(1) </w:t>
      </w:r>
      <w:r w:rsidR="00200682" w:rsidRPr="003234C5">
        <w:rPr>
          <w:rFonts w:ascii="Arial" w:hAnsi="Arial" w:cs="Arial"/>
        </w:rPr>
        <w:t xml:space="preserve">O valor de R$ </w:t>
      </w:r>
      <w:r w:rsidR="007B7332" w:rsidRPr="003234C5">
        <w:rPr>
          <w:rFonts w:ascii="Arial" w:hAnsi="Arial" w:cs="Arial"/>
        </w:rPr>
        <w:t>10.</w:t>
      </w:r>
      <w:r w:rsidR="00390A6D">
        <w:rPr>
          <w:rFonts w:ascii="Arial" w:hAnsi="Arial" w:cs="Arial"/>
        </w:rPr>
        <w:t>879</w:t>
      </w:r>
      <w:r w:rsidR="00200682" w:rsidRPr="003234C5">
        <w:rPr>
          <w:rFonts w:ascii="Arial" w:hAnsi="Arial" w:cs="Arial"/>
        </w:rPr>
        <w:t xml:space="preserve"> refere-se aos recolhimentos dos depósitos judiciais decorrente</w:t>
      </w:r>
      <w:r w:rsidR="00390A6D">
        <w:rPr>
          <w:rFonts w:ascii="Arial" w:hAnsi="Arial" w:cs="Arial"/>
        </w:rPr>
        <w:t>s</w:t>
      </w:r>
      <w:r w:rsidR="00200682" w:rsidRPr="003234C5">
        <w:rPr>
          <w:rFonts w:ascii="Arial" w:hAnsi="Arial" w:cs="Arial"/>
        </w:rPr>
        <w:t xml:space="preserve"> de uma ação contra a Prefeitura Municipal de Fortaleza </w:t>
      </w:r>
      <w:r w:rsidR="00FE11AA" w:rsidRPr="003234C5">
        <w:rPr>
          <w:rFonts w:ascii="Arial" w:hAnsi="Arial" w:cs="Arial"/>
        </w:rPr>
        <w:t>–</w:t>
      </w:r>
      <w:r w:rsidR="00200682" w:rsidRPr="003234C5">
        <w:rPr>
          <w:rFonts w:ascii="Arial" w:hAnsi="Arial" w:cs="Arial"/>
        </w:rPr>
        <w:t xml:space="preserve"> PMF onde se questiona a cobrança </w:t>
      </w:r>
      <w:r w:rsidR="00E6217A" w:rsidRPr="003234C5">
        <w:rPr>
          <w:rFonts w:ascii="Arial" w:hAnsi="Arial" w:cs="Arial"/>
        </w:rPr>
        <w:t>de valores</w:t>
      </w:r>
      <w:r w:rsidR="00516336" w:rsidRPr="003234C5">
        <w:rPr>
          <w:rFonts w:ascii="Arial" w:hAnsi="Arial" w:cs="Arial"/>
        </w:rPr>
        <w:t xml:space="preserve"> devidos pela instalação dos gasodutos no subsolo, </w:t>
      </w:r>
      <w:r w:rsidR="00200682" w:rsidRPr="003234C5">
        <w:rPr>
          <w:rFonts w:ascii="Arial" w:hAnsi="Arial" w:cs="Arial"/>
        </w:rPr>
        <w:t>determinadas pela Lei. Nº 8.744, de 10 de julho de 2003, que instituiu o pagamento de prestação pecuniária obrigatória a empresas que tenham infraestrutura instalada em logradouros públicos, no espaço aéreo, no solo e no subsolo do município de Fortaleza.</w:t>
      </w:r>
    </w:p>
    <w:p w14:paraId="63B55871" w14:textId="64108F3E" w:rsidR="00200682" w:rsidRPr="003234C5" w:rsidRDefault="00826552" w:rsidP="00200682">
      <w:pPr>
        <w:autoSpaceDE w:val="0"/>
        <w:autoSpaceDN w:val="0"/>
        <w:adjustRightInd w:val="0"/>
        <w:jc w:val="both"/>
        <w:rPr>
          <w:rFonts w:ascii="Arial" w:hAnsi="Arial" w:cs="Arial"/>
        </w:rPr>
      </w:pPr>
      <w:r>
        <w:rPr>
          <w:rFonts w:ascii="Arial" w:hAnsi="Arial" w:cs="Arial"/>
        </w:rPr>
        <w:t xml:space="preserve">(2) </w:t>
      </w:r>
      <w:r w:rsidR="00200682" w:rsidRPr="00602ACB">
        <w:rPr>
          <w:rFonts w:ascii="Arial" w:hAnsi="Arial" w:cs="Arial"/>
        </w:rPr>
        <w:t xml:space="preserve">A Companhia também ingressou na justiça, através de uma ação declaratória, pleiteando o direito de não incidência de PIS e COFINS sobre os valores do ICMS embutidos nas notas fiscais de aquisição de gás e repassados na tarifa do gás. Através de liminar concedida, a </w:t>
      </w:r>
      <w:r w:rsidR="00200682" w:rsidRPr="00445AA4">
        <w:rPr>
          <w:rFonts w:ascii="Arial" w:hAnsi="Arial" w:cs="Arial"/>
        </w:rPr>
        <w:t xml:space="preserve">Companhia efetuou até </w:t>
      </w:r>
      <w:r w:rsidR="007A07F0" w:rsidRPr="00445AA4">
        <w:rPr>
          <w:rFonts w:ascii="Arial" w:hAnsi="Arial" w:cs="Arial"/>
        </w:rPr>
        <w:t>dezembro</w:t>
      </w:r>
      <w:r w:rsidR="00200682" w:rsidRPr="00445AA4">
        <w:rPr>
          <w:rFonts w:ascii="Arial" w:hAnsi="Arial" w:cs="Arial"/>
        </w:rPr>
        <w:t xml:space="preserve"> de 201</w:t>
      </w:r>
      <w:r w:rsidR="00F77F2B" w:rsidRPr="00445AA4">
        <w:rPr>
          <w:rFonts w:ascii="Arial" w:hAnsi="Arial" w:cs="Arial"/>
        </w:rPr>
        <w:t>9</w:t>
      </w:r>
      <w:r w:rsidR="00200682" w:rsidRPr="00445AA4">
        <w:rPr>
          <w:rFonts w:ascii="Arial" w:hAnsi="Arial" w:cs="Arial"/>
        </w:rPr>
        <w:t xml:space="preserve"> o depósito judicial no </w:t>
      </w:r>
      <w:r w:rsidR="00516336" w:rsidRPr="00445AA4">
        <w:rPr>
          <w:rFonts w:ascii="Arial" w:hAnsi="Arial" w:cs="Arial"/>
        </w:rPr>
        <w:t xml:space="preserve">montante </w:t>
      </w:r>
      <w:r w:rsidR="00200682" w:rsidRPr="00445AA4">
        <w:rPr>
          <w:rFonts w:ascii="Arial" w:hAnsi="Arial" w:cs="Arial"/>
        </w:rPr>
        <w:t xml:space="preserve">de R$ </w:t>
      </w:r>
      <w:r w:rsidR="007B7332" w:rsidRPr="00445AA4">
        <w:rPr>
          <w:rFonts w:ascii="Arial" w:hAnsi="Arial" w:cs="Arial"/>
        </w:rPr>
        <w:t>6.</w:t>
      </w:r>
      <w:r w:rsidR="001606C7" w:rsidRPr="00445AA4">
        <w:rPr>
          <w:rFonts w:ascii="Arial" w:hAnsi="Arial" w:cs="Arial"/>
        </w:rPr>
        <w:t>747</w:t>
      </w:r>
      <w:r w:rsidR="00200682" w:rsidRPr="00445AA4">
        <w:rPr>
          <w:rFonts w:ascii="Arial" w:hAnsi="Arial" w:cs="Arial"/>
        </w:rPr>
        <w:t xml:space="preserve"> </w:t>
      </w:r>
      <w:r w:rsidR="00516336" w:rsidRPr="00445AA4">
        <w:rPr>
          <w:rFonts w:ascii="Arial" w:hAnsi="Arial" w:cs="Arial"/>
        </w:rPr>
        <w:t xml:space="preserve">referente ao PIS </w:t>
      </w:r>
      <w:r w:rsidR="00200682" w:rsidRPr="00445AA4">
        <w:rPr>
          <w:rFonts w:ascii="Arial" w:hAnsi="Arial" w:cs="Arial"/>
        </w:rPr>
        <w:t xml:space="preserve">e </w:t>
      </w:r>
      <w:r w:rsidR="00516336" w:rsidRPr="00445AA4">
        <w:rPr>
          <w:rFonts w:ascii="Arial" w:hAnsi="Arial" w:cs="Arial"/>
        </w:rPr>
        <w:t xml:space="preserve">de </w:t>
      </w:r>
      <w:r w:rsidR="00200682" w:rsidRPr="00445AA4">
        <w:rPr>
          <w:rFonts w:ascii="Arial" w:hAnsi="Arial" w:cs="Arial"/>
        </w:rPr>
        <w:t xml:space="preserve">R$ </w:t>
      </w:r>
      <w:r w:rsidR="001606C7" w:rsidRPr="00445AA4">
        <w:rPr>
          <w:rFonts w:ascii="Arial" w:hAnsi="Arial" w:cs="Arial"/>
        </w:rPr>
        <w:t>29.640</w:t>
      </w:r>
      <w:r w:rsidR="00516336" w:rsidRPr="00445AA4">
        <w:rPr>
          <w:rFonts w:ascii="Arial" w:hAnsi="Arial" w:cs="Arial"/>
        </w:rPr>
        <w:t xml:space="preserve"> referente à COFINS</w:t>
      </w:r>
      <w:r w:rsidR="00200682" w:rsidRPr="00445AA4">
        <w:rPr>
          <w:rFonts w:ascii="Arial" w:hAnsi="Arial" w:cs="Arial"/>
        </w:rPr>
        <w:t>.</w:t>
      </w:r>
      <w:r w:rsidR="00200682" w:rsidRPr="003234C5">
        <w:rPr>
          <w:rFonts w:ascii="Arial" w:hAnsi="Arial" w:cs="Arial"/>
        </w:rPr>
        <w:t xml:space="preserve"> </w:t>
      </w:r>
    </w:p>
    <w:p w14:paraId="3F0EC550" w14:textId="22526E72" w:rsidR="00200682" w:rsidRPr="003234C5" w:rsidRDefault="00826552" w:rsidP="00200682">
      <w:pPr>
        <w:autoSpaceDE w:val="0"/>
        <w:autoSpaceDN w:val="0"/>
        <w:adjustRightInd w:val="0"/>
        <w:jc w:val="both"/>
        <w:rPr>
          <w:rFonts w:ascii="Arial" w:hAnsi="Arial" w:cs="Arial"/>
        </w:rPr>
      </w:pPr>
      <w:r>
        <w:rPr>
          <w:rFonts w:ascii="Arial" w:hAnsi="Arial" w:cs="Arial"/>
        </w:rPr>
        <w:t>(3)</w:t>
      </w:r>
      <w:r w:rsidR="00200682" w:rsidRPr="003234C5">
        <w:rPr>
          <w:rFonts w:ascii="Arial" w:hAnsi="Arial" w:cs="Arial"/>
        </w:rPr>
        <w:t xml:space="preserve">A </w:t>
      </w:r>
      <w:r w:rsidR="00F71A6C" w:rsidRPr="003234C5">
        <w:rPr>
          <w:rFonts w:ascii="Arial" w:hAnsi="Arial" w:cs="Arial"/>
        </w:rPr>
        <w:t>CEGÁS</w:t>
      </w:r>
      <w:r w:rsidR="00200682" w:rsidRPr="003234C5">
        <w:rPr>
          <w:rFonts w:ascii="Arial" w:hAnsi="Arial" w:cs="Arial"/>
        </w:rPr>
        <w:t xml:space="preserve"> também realizou depósito judicia</w:t>
      </w:r>
      <w:r w:rsidR="00516336" w:rsidRPr="003234C5">
        <w:rPr>
          <w:rFonts w:ascii="Arial" w:hAnsi="Arial" w:cs="Arial"/>
        </w:rPr>
        <w:t>l</w:t>
      </w:r>
      <w:r w:rsidR="00200682" w:rsidRPr="003234C5">
        <w:rPr>
          <w:rFonts w:ascii="Arial" w:hAnsi="Arial" w:cs="Arial"/>
        </w:rPr>
        <w:t xml:space="preserve"> de R$ 2</w:t>
      </w:r>
      <w:r w:rsidR="007B7332" w:rsidRPr="003234C5">
        <w:rPr>
          <w:rFonts w:ascii="Arial" w:hAnsi="Arial" w:cs="Arial"/>
        </w:rPr>
        <w:t>80</w:t>
      </w:r>
      <w:r w:rsidR="00200682" w:rsidRPr="003234C5">
        <w:rPr>
          <w:rFonts w:ascii="Arial" w:hAnsi="Arial" w:cs="Arial"/>
        </w:rPr>
        <w:t>, em ação ordinária, referente à multa aplicada pela Agência Nacional de Petróleo – ANP, e depósitos de ações cíveis, no montante de R$ 152.</w:t>
      </w:r>
    </w:p>
    <w:p w14:paraId="49A1B74B" w14:textId="0BCAD339" w:rsidR="007B7332" w:rsidRPr="003234C5" w:rsidRDefault="00826552" w:rsidP="007B7332">
      <w:pPr>
        <w:autoSpaceDE w:val="0"/>
        <w:autoSpaceDN w:val="0"/>
        <w:adjustRightInd w:val="0"/>
        <w:jc w:val="both"/>
        <w:rPr>
          <w:rFonts w:ascii="Arial" w:hAnsi="Arial" w:cs="Arial"/>
        </w:rPr>
      </w:pPr>
      <w:r>
        <w:rPr>
          <w:rFonts w:ascii="Arial" w:hAnsi="Arial" w:cs="Arial"/>
        </w:rPr>
        <w:t>(4)</w:t>
      </w:r>
      <w:r w:rsidR="007B7332" w:rsidRPr="003234C5">
        <w:rPr>
          <w:rFonts w:ascii="Arial" w:hAnsi="Arial" w:cs="Arial"/>
        </w:rPr>
        <w:t xml:space="preserve">O depósito judicial, no valor de R$ 761, refere-se ao processo em que a </w:t>
      </w:r>
      <w:r w:rsidR="00F71A6C" w:rsidRPr="003234C5">
        <w:rPr>
          <w:rFonts w:ascii="Arial" w:hAnsi="Arial" w:cs="Arial"/>
        </w:rPr>
        <w:t>CEGÁS</w:t>
      </w:r>
      <w:r w:rsidR="007B7332" w:rsidRPr="003234C5">
        <w:rPr>
          <w:rFonts w:ascii="Arial" w:hAnsi="Arial" w:cs="Arial"/>
        </w:rPr>
        <w:t xml:space="preserve"> declara a inexistência de crédito tributário, pleiteando a autora (Fazenda Nacional) a anulação de autuação realizada por conta da não inclusão de depósitos judiciais na base de cálculo do IR e do Lucro da Exploração</w:t>
      </w:r>
      <w:r>
        <w:rPr>
          <w:rFonts w:ascii="Arial" w:hAnsi="Arial" w:cs="Arial"/>
        </w:rPr>
        <w:t xml:space="preserve"> referente ao exercício de 2008</w:t>
      </w:r>
      <w:r w:rsidR="007B7332" w:rsidRPr="003234C5">
        <w:rPr>
          <w:rFonts w:ascii="Arial" w:hAnsi="Arial" w:cs="Arial"/>
        </w:rPr>
        <w:t>.</w:t>
      </w:r>
    </w:p>
    <w:p w14:paraId="59C73AC9" w14:textId="5BC84E50" w:rsidR="00200682" w:rsidRPr="003234C5" w:rsidRDefault="00E30802" w:rsidP="00200682">
      <w:pPr>
        <w:autoSpaceDE w:val="0"/>
        <w:autoSpaceDN w:val="0"/>
        <w:adjustRightInd w:val="0"/>
        <w:jc w:val="both"/>
        <w:rPr>
          <w:rFonts w:ascii="Arial" w:hAnsi="Arial" w:cs="Arial"/>
          <w:b/>
        </w:rPr>
      </w:pPr>
      <w:r w:rsidRPr="003234C5">
        <w:rPr>
          <w:rFonts w:ascii="Arial" w:hAnsi="Arial" w:cs="Arial"/>
          <w:b/>
        </w:rPr>
        <w:t>N</w:t>
      </w:r>
      <w:r w:rsidR="00895647" w:rsidRPr="003234C5">
        <w:rPr>
          <w:rFonts w:ascii="Arial" w:hAnsi="Arial" w:cs="Arial"/>
          <w:b/>
        </w:rPr>
        <w:t>OTA 1</w:t>
      </w:r>
      <w:r w:rsidR="00176863" w:rsidRPr="003234C5">
        <w:rPr>
          <w:rFonts w:ascii="Arial" w:hAnsi="Arial" w:cs="Arial"/>
          <w:b/>
        </w:rPr>
        <w:t>5</w:t>
      </w:r>
      <w:r w:rsidR="00895647" w:rsidRPr="003234C5">
        <w:rPr>
          <w:rFonts w:ascii="Arial" w:hAnsi="Arial" w:cs="Arial"/>
          <w:b/>
        </w:rPr>
        <w:t>.  DESPESA</w:t>
      </w:r>
      <w:r w:rsidR="000E17BD" w:rsidRPr="003234C5">
        <w:rPr>
          <w:rFonts w:ascii="Arial" w:hAnsi="Arial" w:cs="Arial"/>
          <w:b/>
        </w:rPr>
        <w:t>S</w:t>
      </w:r>
      <w:r w:rsidR="00895647" w:rsidRPr="003234C5">
        <w:rPr>
          <w:rFonts w:ascii="Arial" w:hAnsi="Arial" w:cs="Arial"/>
          <w:b/>
        </w:rPr>
        <w:t xml:space="preserve"> ANTECIPADA</w:t>
      </w:r>
      <w:r w:rsidR="000E17BD" w:rsidRPr="003234C5">
        <w:rPr>
          <w:rFonts w:ascii="Arial" w:hAnsi="Arial" w:cs="Arial"/>
          <w:b/>
        </w:rPr>
        <w:t>S</w:t>
      </w:r>
    </w:p>
    <w:p w14:paraId="72290EDF" w14:textId="5A31353B" w:rsidR="00C94807" w:rsidRPr="003234C5" w:rsidRDefault="00C94807" w:rsidP="00C94807">
      <w:pPr>
        <w:jc w:val="both"/>
        <w:rPr>
          <w:rFonts w:ascii="Arial" w:hAnsi="Arial" w:cs="Arial"/>
        </w:rPr>
      </w:pPr>
      <w:r w:rsidRPr="003234C5">
        <w:rPr>
          <w:rFonts w:ascii="Arial" w:hAnsi="Arial" w:cs="Arial"/>
        </w:rPr>
        <w:t xml:space="preserve">A Companhia registrou nessa rubrica pagamentos </w:t>
      </w:r>
      <w:r w:rsidR="00656B6C" w:rsidRPr="003234C5">
        <w:rPr>
          <w:rFonts w:ascii="Arial" w:hAnsi="Arial" w:cs="Arial"/>
        </w:rPr>
        <w:t>pertinentes</w:t>
      </w:r>
      <w:r w:rsidRPr="003234C5">
        <w:rPr>
          <w:rFonts w:ascii="Arial" w:hAnsi="Arial" w:cs="Arial"/>
        </w:rPr>
        <w:t xml:space="preserve"> a custos e despesas que </w:t>
      </w:r>
      <w:r w:rsidR="00C4271A" w:rsidRPr="003234C5">
        <w:rPr>
          <w:rFonts w:ascii="Arial" w:hAnsi="Arial" w:cs="Arial"/>
        </w:rPr>
        <w:t>se re</w:t>
      </w:r>
      <w:r w:rsidRPr="003234C5">
        <w:rPr>
          <w:rFonts w:ascii="Arial" w:hAnsi="Arial" w:cs="Arial"/>
        </w:rPr>
        <w:t>ferem a períodos de competência subsequentes, apresentadas no balanço pelas importâncias aplicadas, diminuídas das apropriações efetuadas no período, de forma a obedecer ao regime de competência.</w:t>
      </w:r>
      <w:r w:rsidR="00810963" w:rsidRPr="003234C5">
        <w:rPr>
          <w:rFonts w:ascii="Arial" w:hAnsi="Arial" w:cs="Arial"/>
        </w:rPr>
        <w:t xml:space="preserve"> </w:t>
      </w:r>
      <w:r w:rsidRPr="003234C5">
        <w:rPr>
          <w:rFonts w:ascii="Arial" w:hAnsi="Arial" w:cs="Arial"/>
        </w:rPr>
        <w:t>A tabela a seguir evidencia os principais tipos de despesas antecipadas:</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9"/>
        <w:gridCol w:w="1134"/>
        <w:gridCol w:w="1110"/>
      </w:tblGrid>
      <w:tr w:rsidR="00C32165" w:rsidRPr="003234C5" w14:paraId="483F9985" w14:textId="77777777" w:rsidTr="00C3673E">
        <w:trPr>
          <w:trHeight w:val="227"/>
          <w:jc w:val="center"/>
        </w:trPr>
        <w:tc>
          <w:tcPr>
            <w:tcW w:w="6799" w:type="dxa"/>
            <w:shd w:val="clear" w:color="auto" w:fill="C0C0C0"/>
            <w:vAlign w:val="center"/>
          </w:tcPr>
          <w:p w14:paraId="15E80548" w14:textId="77777777" w:rsidR="00C32165" w:rsidRPr="003234C5" w:rsidRDefault="00C32165" w:rsidP="00C32165">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w:t>
            </w:r>
          </w:p>
        </w:tc>
        <w:tc>
          <w:tcPr>
            <w:tcW w:w="1134" w:type="dxa"/>
            <w:shd w:val="clear" w:color="auto" w:fill="C0C0C0"/>
            <w:vAlign w:val="bottom"/>
          </w:tcPr>
          <w:p w14:paraId="011F6650" w14:textId="5003AD1F" w:rsidR="00C32165" w:rsidRPr="003234C5" w:rsidRDefault="00C6257E" w:rsidP="00C32165">
            <w:pPr>
              <w:spacing w:after="0"/>
              <w:jc w:val="center"/>
              <w:rPr>
                <w:rFonts w:ascii="Arial" w:hAnsi="Arial" w:cs="Arial"/>
                <w:b/>
                <w:bCs/>
                <w:color w:val="000000"/>
                <w:sz w:val="20"/>
                <w:szCs w:val="20"/>
              </w:rPr>
            </w:pPr>
            <w:r>
              <w:rPr>
                <w:rFonts w:ascii="Arial" w:hAnsi="Arial" w:cs="Arial"/>
                <w:b/>
                <w:bCs/>
                <w:color w:val="000000"/>
                <w:sz w:val="20"/>
                <w:szCs w:val="20"/>
              </w:rPr>
              <w:t>2019</w:t>
            </w:r>
          </w:p>
        </w:tc>
        <w:tc>
          <w:tcPr>
            <w:tcW w:w="1110" w:type="dxa"/>
            <w:shd w:val="clear" w:color="auto" w:fill="C0C0C0"/>
            <w:vAlign w:val="bottom"/>
          </w:tcPr>
          <w:p w14:paraId="2CA4C5A8" w14:textId="21FE32D9" w:rsidR="00C32165" w:rsidRPr="003234C5" w:rsidRDefault="00C6257E" w:rsidP="00C32165">
            <w:pPr>
              <w:spacing w:after="0"/>
              <w:jc w:val="center"/>
              <w:rPr>
                <w:rFonts w:ascii="Arial" w:hAnsi="Arial" w:cs="Arial"/>
                <w:b/>
                <w:bCs/>
                <w:color w:val="000000"/>
                <w:sz w:val="20"/>
                <w:szCs w:val="20"/>
              </w:rPr>
            </w:pPr>
            <w:r>
              <w:rPr>
                <w:rFonts w:ascii="Arial" w:hAnsi="Arial" w:cs="Arial"/>
                <w:b/>
                <w:bCs/>
                <w:color w:val="000000"/>
                <w:sz w:val="20"/>
                <w:szCs w:val="20"/>
              </w:rPr>
              <w:t>2018</w:t>
            </w:r>
          </w:p>
        </w:tc>
      </w:tr>
      <w:tr w:rsidR="00F006BF" w:rsidRPr="003234C5" w14:paraId="1AAB690E" w14:textId="77777777" w:rsidTr="00C3673E">
        <w:trPr>
          <w:trHeight w:val="227"/>
          <w:jc w:val="center"/>
        </w:trPr>
        <w:tc>
          <w:tcPr>
            <w:tcW w:w="6799" w:type="dxa"/>
            <w:shd w:val="clear" w:color="auto" w:fill="FFFFFF"/>
            <w:vAlign w:val="bottom"/>
          </w:tcPr>
          <w:p w14:paraId="4AF16057" w14:textId="478BF7B2" w:rsidR="00F006BF" w:rsidRPr="003234C5" w:rsidRDefault="00F006BF" w:rsidP="00F006BF">
            <w:pPr>
              <w:spacing w:after="0"/>
              <w:jc w:val="both"/>
              <w:rPr>
                <w:rFonts w:ascii="Arial" w:hAnsi="Arial" w:cs="Arial"/>
                <w:sz w:val="20"/>
                <w:szCs w:val="20"/>
              </w:rPr>
            </w:pPr>
            <w:r w:rsidRPr="003234C5">
              <w:rPr>
                <w:rFonts w:ascii="Arial" w:hAnsi="Arial" w:cs="Arial"/>
                <w:sz w:val="20"/>
                <w:szCs w:val="20"/>
              </w:rPr>
              <w:t>Seguros dos Gasodutos</w:t>
            </w:r>
          </w:p>
        </w:tc>
        <w:tc>
          <w:tcPr>
            <w:tcW w:w="1134" w:type="dxa"/>
            <w:shd w:val="clear" w:color="auto" w:fill="FFFFFF"/>
            <w:vAlign w:val="center"/>
          </w:tcPr>
          <w:p w14:paraId="2909C3AC" w14:textId="5B17EB78" w:rsidR="00F006BF" w:rsidRPr="003234C5" w:rsidRDefault="00782678" w:rsidP="00E2301B">
            <w:pPr>
              <w:spacing w:after="0"/>
              <w:jc w:val="right"/>
              <w:rPr>
                <w:rFonts w:ascii="Arial" w:eastAsia="Times New Roman" w:hAnsi="Arial" w:cs="Arial"/>
                <w:b/>
                <w:bCs/>
                <w:color w:val="366092"/>
                <w:kern w:val="0"/>
                <w:sz w:val="20"/>
                <w:szCs w:val="20"/>
                <w:lang w:eastAsia="pt-BR"/>
              </w:rPr>
            </w:pPr>
            <w:r w:rsidRPr="00E2301B">
              <w:rPr>
                <w:rFonts w:ascii="Arial" w:hAnsi="Arial" w:cs="Arial"/>
                <w:color w:val="000000"/>
                <w:sz w:val="20"/>
                <w:szCs w:val="20"/>
              </w:rPr>
              <w:t>333</w:t>
            </w:r>
          </w:p>
        </w:tc>
        <w:tc>
          <w:tcPr>
            <w:tcW w:w="1110" w:type="dxa"/>
            <w:shd w:val="clear" w:color="auto" w:fill="FFFFFF"/>
            <w:vAlign w:val="center"/>
          </w:tcPr>
          <w:p w14:paraId="76A45DB2" w14:textId="1E1669F0" w:rsidR="00F006BF" w:rsidRPr="003234C5" w:rsidRDefault="00F006BF" w:rsidP="00F006BF">
            <w:pPr>
              <w:spacing w:after="0"/>
              <w:jc w:val="right"/>
              <w:rPr>
                <w:rFonts w:ascii="Arial" w:hAnsi="Arial" w:cs="Arial"/>
                <w:sz w:val="20"/>
                <w:szCs w:val="20"/>
              </w:rPr>
            </w:pPr>
            <w:r w:rsidRPr="003234C5">
              <w:rPr>
                <w:rFonts w:ascii="Arial" w:hAnsi="Arial" w:cs="Arial"/>
                <w:color w:val="000000"/>
                <w:sz w:val="20"/>
                <w:szCs w:val="20"/>
              </w:rPr>
              <w:t>315</w:t>
            </w:r>
          </w:p>
        </w:tc>
      </w:tr>
      <w:tr w:rsidR="00F006BF" w:rsidRPr="003234C5" w14:paraId="700BFEEA" w14:textId="77777777" w:rsidTr="00C3673E">
        <w:trPr>
          <w:trHeight w:val="227"/>
          <w:jc w:val="center"/>
        </w:trPr>
        <w:tc>
          <w:tcPr>
            <w:tcW w:w="6799" w:type="dxa"/>
            <w:shd w:val="clear" w:color="auto" w:fill="FFFFFF"/>
            <w:vAlign w:val="bottom"/>
          </w:tcPr>
          <w:p w14:paraId="3CEA0D6F" w14:textId="10063310" w:rsidR="00F006BF" w:rsidRPr="003234C5" w:rsidRDefault="00F006BF" w:rsidP="00F006BF">
            <w:pPr>
              <w:spacing w:after="0"/>
              <w:jc w:val="both"/>
              <w:rPr>
                <w:rFonts w:ascii="Arial" w:hAnsi="Arial" w:cs="Arial"/>
                <w:bCs/>
                <w:sz w:val="20"/>
                <w:szCs w:val="20"/>
              </w:rPr>
            </w:pPr>
            <w:r w:rsidRPr="003234C5">
              <w:rPr>
                <w:rFonts w:ascii="Arial" w:hAnsi="Arial" w:cs="Arial"/>
                <w:sz w:val="20"/>
                <w:szCs w:val="20"/>
              </w:rPr>
              <w:t>Seguros dos Veículos</w:t>
            </w:r>
          </w:p>
        </w:tc>
        <w:tc>
          <w:tcPr>
            <w:tcW w:w="1134" w:type="dxa"/>
            <w:shd w:val="clear" w:color="auto" w:fill="FFFFFF"/>
            <w:vAlign w:val="center"/>
          </w:tcPr>
          <w:p w14:paraId="7A1242DF" w14:textId="1C230DD7" w:rsidR="00F006BF" w:rsidRPr="003234C5" w:rsidRDefault="00782678" w:rsidP="00F006BF">
            <w:pPr>
              <w:spacing w:after="0"/>
              <w:jc w:val="right"/>
              <w:rPr>
                <w:rFonts w:ascii="Arial" w:hAnsi="Arial" w:cs="Arial"/>
                <w:sz w:val="20"/>
                <w:szCs w:val="20"/>
              </w:rPr>
            </w:pPr>
            <w:r>
              <w:rPr>
                <w:rFonts w:ascii="Arial" w:hAnsi="Arial" w:cs="Arial"/>
                <w:sz w:val="20"/>
                <w:szCs w:val="20"/>
              </w:rPr>
              <w:t>-</w:t>
            </w:r>
          </w:p>
        </w:tc>
        <w:tc>
          <w:tcPr>
            <w:tcW w:w="1110" w:type="dxa"/>
            <w:shd w:val="clear" w:color="auto" w:fill="FFFFFF"/>
            <w:vAlign w:val="center"/>
          </w:tcPr>
          <w:p w14:paraId="299C6644" w14:textId="28A9DFAD" w:rsidR="00F006BF" w:rsidRPr="003234C5" w:rsidRDefault="00F006BF" w:rsidP="00F006BF">
            <w:pPr>
              <w:spacing w:after="0"/>
              <w:jc w:val="right"/>
              <w:rPr>
                <w:rFonts w:ascii="Arial" w:hAnsi="Arial" w:cs="Arial"/>
                <w:sz w:val="20"/>
                <w:szCs w:val="20"/>
              </w:rPr>
            </w:pPr>
            <w:r w:rsidRPr="003234C5">
              <w:rPr>
                <w:rFonts w:ascii="Arial" w:hAnsi="Arial" w:cs="Arial"/>
                <w:color w:val="000000"/>
                <w:sz w:val="20"/>
                <w:szCs w:val="20"/>
              </w:rPr>
              <w:t>6</w:t>
            </w:r>
          </w:p>
        </w:tc>
      </w:tr>
      <w:tr w:rsidR="00F006BF" w:rsidRPr="003234C5" w14:paraId="7C148D21" w14:textId="77777777" w:rsidTr="00C3673E">
        <w:trPr>
          <w:trHeight w:val="227"/>
          <w:jc w:val="center"/>
        </w:trPr>
        <w:tc>
          <w:tcPr>
            <w:tcW w:w="6799" w:type="dxa"/>
            <w:shd w:val="clear" w:color="auto" w:fill="FFFFFF"/>
            <w:vAlign w:val="bottom"/>
          </w:tcPr>
          <w:p w14:paraId="173F4A66" w14:textId="5AE52DE5" w:rsidR="00F006BF" w:rsidRPr="003234C5" w:rsidRDefault="00F006BF" w:rsidP="00F006BF">
            <w:pPr>
              <w:spacing w:after="0"/>
              <w:jc w:val="both"/>
              <w:rPr>
                <w:rFonts w:ascii="Arial" w:hAnsi="Arial" w:cs="Arial"/>
                <w:bCs/>
                <w:sz w:val="20"/>
                <w:szCs w:val="20"/>
              </w:rPr>
            </w:pPr>
            <w:r w:rsidRPr="003234C5">
              <w:rPr>
                <w:rFonts w:ascii="Arial" w:hAnsi="Arial" w:cs="Arial"/>
                <w:sz w:val="20"/>
                <w:szCs w:val="20"/>
              </w:rPr>
              <w:t>Outros</w:t>
            </w:r>
          </w:p>
        </w:tc>
        <w:tc>
          <w:tcPr>
            <w:tcW w:w="1134" w:type="dxa"/>
            <w:shd w:val="clear" w:color="auto" w:fill="FFFFFF"/>
            <w:vAlign w:val="center"/>
          </w:tcPr>
          <w:p w14:paraId="7215FA67" w14:textId="10A4C4EA" w:rsidR="00F006BF" w:rsidRPr="003234C5" w:rsidRDefault="00782678" w:rsidP="00F006BF">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68</w:t>
            </w:r>
          </w:p>
        </w:tc>
        <w:tc>
          <w:tcPr>
            <w:tcW w:w="1110" w:type="dxa"/>
            <w:shd w:val="clear" w:color="auto" w:fill="FFFFFF"/>
            <w:vAlign w:val="center"/>
          </w:tcPr>
          <w:p w14:paraId="503428F8" w14:textId="27492D4C" w:rsidR="00F006BF" w:rsidRPr="003234C5" w:rsidRDefault="00F006BF" w:rsidP="00F006BF">
            <w:pPr>
              <w:spacing w:after="0"/>
              <w:jc w:val="right"/>
              <w:rPr>
                <w:rFonts w:ascii="Arial" w:hAnsi="Arial" w:cs="Arial"/>
                <w:sz w:val="20"/>
                <w:szCs w:val="20"/>
              </w:rPr>
            </w:pPr>
            <w:r w:rsidRPr="003234C5">
              <w:rPr>
                <w:rFonts w:ascii="Arial" w:hAnsi="Arial" w:cs="Arial"/>
                <w:color w:val="000000"/>
                <w:sz w:val="20"/>
                <w:szCs w:val="20"/>
              </w:rPr>
              <w:t>58</w:t>
            </w:r>
          </w:p>
        </w:tc>
      </w:tr>
      <w:tr w:rsidR="00F006BF" w:rsidRPr="003234C5" w14:paraId="7CA868DD" w14:textId="77777777" w:rsidTr="00C3673E">
        <w:trPr>
          <w:trHeight w:val="227"/>
          <w:jc w:val="center"/>
        </w:trPr>
        <w:tc>
          <w:tcPr>
            <w:tcW w:w="6799" w:type="dxa"/>
            <w:shd w:val="clear" w:color="auto" w:fill="C0C0C0"/>
            <w:vAlign w:val="center"/>
          </w:tcPr>
          <w:p w14:paraId="600622E8" w14:textId="77777777" w:rsidR="00F006BF" w:rsidRPr="003234C5" w:rsidRDefault="00F006BF" w:rsidP="00F006BF">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134" w:type="dxa"/>
            <w:shd w:val="clear" w:color="auto" w:fill="C0C0C0"/>
            <w:vAlign w:val="center"/>
          </w:tcPr>
          <w:p w14:paraId="66760EF9" w14:textId="4F9796B4" w:rsidR="00F006BF" w:rsidRPr="003234C5" w:rsidRDefault="00E2301B" w:rsidP="00F006BF">
            <w:pPr>
              <w:suppressAutoHyphens w:val="0"/>
              <w:spacing w:after="0" w:line="240" w:lineRule="auto"/>
              <w:jc w:val="right"/>
              <w:rPr>
                <w:rFonts w:ascii="Arial" w:eastAsia="Times New Roman" w:hAnsi="Arial" w:cs="Arial"/>
                <w:b/>
                <w:color w:val="000000"/>
                <w:kern w:val="0"/>
                <w:sz w:val="20"/>
                <w:szCs w:val="20"/>
                <w:lang w:eastAsia="pt-BR"/>
              </w:rPr>
            </w:pPr>
            <w:r>
              <w:rPr>
                <w:rFonts w:ascii="Arial" w:eastAsia="Times New Roman" w:hAnsi="Arial" w:cs="Arial"/>
                <w:b/>
                <w:color w:val="000000"/>
                <w:kern w:val="0"/>
                <w:sz w:val="20"/>
                <w:szCs w:val="20"/>
                <w:lang w:eastAsia="pt-BR"/>
              </w:rPr>
              <w:t>401</w:t>
            </w:r>
          </w:p>
        </w:tc>
        <w:tc>
          <w:tcPr>
            <w:tcW w:w="1110" w:type="dxa"/>
            <w:shd w:val="clear" w:color="auto" w:fill="C0C0C0"/>
            <w:vAlign w:val="center"/>
          </w:tcPr>
          <w:p w14:paraId="5A29477D" w14:textId="1E6A0870" w:rsidR="00F006BF" w:rsidRPr="003234C5" w:rsidRDefault="00F006BF" w:rsidP="00F006BF">
            <w:pPr>
              <w:spacing w:after="0"/>
              <w:jc w:val="right"/>
              <w:rPr>
                <w:rFonts w:ascii="Arial" w:hAnsi="Arial" w:cs="Arial"/>
                <w:b/>
                <w:sz w:val="20"/>
                <w:szCs w:val="20"/>
              </w:rPr>
            </w:pPr>
            <w:r w:rsidRPr="003234C5">
              <w:rPr>
                <w:rFonts w:ascii="Arial" w:hAnsi="Arial" w:cs="Arial"/>
                <w:b/>
                <w:bCs/>
                <w:color w:val="000000"/>
                <w:sz w:val="20"/>
                <w:szCs w:val="20"/>
              </w:rPr>
              <w:t>379</w:t>
            </w:r>
          </w:p>
        </w:tc>
      </w:tr>
    </w:tbl>
    <w:p w14:paraId="3C80893B" w14:textId="77777777" w:rsidR="003273F0" w:rsidRPr="003234C5" w:rsidRDefault="003273F0" w:rsidP="00696768">
      <w:pPr>
        <w:jc w:val="both"/>
        <w:rPr>
          <w:rFonts w:ascii="Arial" w:hAnsi="Arial" w:cs="Arial"/>
          <w:sz w:val="24"/>
          <w:szCs w:val="24"/>
        </w:rPr>
      </w:pPr>
    </w:p>
    <w:p w14:paraId="25A5C683" w14:textId="5A6F7E67" w:rsidR="00895647" w:rsidRPr="003234C5" w:rsidRDefault="00895647" w:rsidP="00200682">
      <w:pPr>
        <w:autoSpaceDE w:val="0"/>
        <w:autoSpaceDN w:val="0"/>
        <w:adjustRightInd w:val="0"/>
        <w:jc w:val="both"/>
        <w:rPr>
          <w:rFonts w:ascii="Arial" w:hAnsi="Arial" w:cs="Arial"/>
          <w:b/>
        </w:rPr>
      </w:pPr>
      <w:r w:rsidRPr="003234C5">
        <w:rPr>
          <w:rFonts w:ascii="Arial" w:hAnsi="Arial" w:cs="Arial"/>
          <w:b/>
        </w:rPr>
        <w:t>NOTA 1</w:t>
      </w:r>
      <w:r w:rsidR="00176863" w:rsidRPr="003234C5">
        <w:rPr>
          <w:rFonts w:ascii="Arial" w:hAnsi="Arial" w:cs="Arial"/>
          <w:b/>
        </w:rPr>
        <w:t>6</w:t>
      </w:r>
      <w:r w:rsidRPr="003234C5">
        <w:rPr>
          <w:rFonts w:ascii="Arial" w:hAnsi="Arial" w:cs="Arial"/>
          <w:b/>
        </w:rPr>
        <w:t xml:space="preserve">. </w:t>
      </w:r>
      <w:r w:rsidR="00C65D84" w:rsidRPr="003234C5">
        <w:rPr>
          <w:rFonts w:ascii="Arial" w:hAnsi="Arial" w:cs="Arial"/>
          <w:b/>
        </w:rPr>
        <w:t>DEPÓSITO REINVESTIMENTO</w:t>
      </w:r>
    </w:p>
    <w:p w14:paraId="2F33548A" w14:textId="4FCB3FF5" w:rsidR="00474D18" w:rsidRPr="003234C5" w:rsidRDefault="00C92677" w:rsidP="00C92677">
      <w:pPr>
        <w:autoSpaceDE w:val="0"/>
        <w:autoSpaceDN w:val="0"/>
        <w:adjustRightInd w:val="0"/>
        <w:jc w:val="both"/>
        <w:rPr>
          <w:rFonts w:ascii="Arial" w:hAnsi="Arial" w:cs="Arial"/>
        </w:rPr>
      </w:pPr>
      <w:r w:rsidRPr="003234C5">
        <w:rPr>
          <w:rFonts w:ascii="Arial" w:hAnsi="Arial" w:cs="Arial"/>
        </w:rPr>
        <w:t>A Companhia iniciou, no ano de 2017, a opção pelo Incentivo Fiscal de Reinvestimento do IRPJ, realizando depósitos mensais de 30% (trinta por cento) sobre o IR devido e 50% (cinquenta por cento) de recursos próprios junto ao Banco do Nordeste do Brasil</w:t>
      </w:r>
      <w:r w:rsidR="00A228B3" w:rsidRPr="003234C5">
        <w:rPr>
          <w:rFonts w:ascii="Arial" w:hAnsi="Arial" w:cs="Arial"/>
        </w:rPr>
        <w:t>.</w:t>
      </w:r>
      <w:r w:rsidR="003D70A2">
        <w:rPr>
          <w:rFonts w:ascii="Arial" w:hAnsi="Arial" w:cs="Arial"/>
        </w:rPr>
        <w:t xml:space="preserve"> </w:t>
      </w:r>
      <w:r w:rsidR="00474D18" w:rsidRPr="003234C5">
        <w:rPr>
          <w:rFonts w:ascii="Arial" w:hAnsi="Arial" w:cs="Arial"/>
        </w:rPr>
        <w:t>O Reinvestimento beneficia as pessoas jurídicas com empreendimentos em operação na área de atuação da Sudene, com o reinvestimento de 30% (trinta por cento) do Imposto devido, em projetos de modernização ou complementação de equipamento.</w:t>
      </w:r>
      <w:r w:rsidR="003D70A2">
        <w:rPr>
          <w:rFonts w:ascii="Arial" w:hAnsi="Arial" w:cs="Arial"/>
        </w:rPr>
        <w:t xml:space="preserve"> </w:t>
      </w:r>
      <w:r w:rsidR="00474D18" w:rsidRPr="003234C5">
        <w:rPr>
          <w:rFonts w:ascii="Arial" w:hAnsi="Arial" w:cs="Arial"/>
        </w:rPr>
        <w:t>Os recursos liberados devem ser incorporados ao capital da empresa no prazo de 180 (cento e oitenta) dias, contados a partir do encerramento do exercício social em que houve a emissão do ofício de liberação pela Superintendência do Desenvolvimento do Nordeste – SUDENE.</w:t>
      </w:r>
    </w:p>
    <w:p w14:paraId="0C42A448" w14:textId="56B830FE" w:rsidR="00437565" w:rsidRPr="00437565" w:rsidRDefault="00005C9C" w:rsidP="00437565">
      <w:pPr>
        <w:autoSpaceDE w:val="0"/>
        <w:autoSpaceDN w:val="0"/>
        <w:adjustRightInd w:val="0"/>
        <w:jc w:val="both"/>
        <w:rPr>
          <w:rFonts w:ascii="Arial" w:hAnsi="Arial" w:cs="Arial"/>
        </w:rPr>
      </w:pPr>
      <w:r w:rsidRPr="00D023AB">
        <w:rPr>
          <w:rFonts w:ascii="Arial" w:hAnsi="Arial" w:cs="Arial"/>
        </w:rPr>
        <w:t xml:space="preserve">O incentivo fiscal referente ao exercício de 2017 foi liberado em conta corrente da CEGÁS no dia 7 de maio de 2019, no valor de </w:t>
      </w:r>
      <w:r w:rsidR="00D70DF7">
        <w:rPr>
          <w:rFonts w:ascii="Arial" w:hAnsi="Arial" w:cs="Arial"/>
        </w:rPr>
        <w:t xml:space="preserve">R$ </w:t>
      </w:r>
      <w:r w:rsidR="00DA57F1">
        <w:rPr>
          <w:rFonts w:ascii="Arial" w:hAnsi="Arial" w:cs="Arial"/>
        </w:rPr>
        <w:t xml:space="preserve">704, </w:t>
      </w:r>
      <w:r w:rsidR="005B38FD">
        <w:rPr>
          <w:rFonts w:ascii="Arial" w:hAnsi="Arial" w:cs="Arial"/>
        </w:rPr>
        <w:t xml:space="preserve">sendo </w:t>
      </w:r>
      <w:r w:rsidRPr="00D023AB">
        <w:rPr>
          <w:rFonts w:ascii="Arial" w:hAnsi="Arial" w:cs="Arial"/>
        </w:rPr>
        <w:t xml:space="preserve">R$ 443 </w:t>
      </w:r>
      <w:r w:rsidR="00DA57F1">
        <w:rPr>
          <w:rFonts w:ascii="Arial" w:hAnsi="Arial" w:cs="Arial"/>
        </w:rPr>
        <w:t>corresponde</w:t>
      </w:r>
      <w:r w:rsidR="005B38FD">
        <w:rPr>
          <w:rFonts w:ascii="Arial" w:hAnsi="Arial" w:cs="Arial"/>
        </w:rPr>
        <w:t>nte</w:t>
      </w:r>
      <w:r w:rsidR="00545297">
        <w:rPr>
          <w:rFonts w:ascii="Arial" w:hAnsi="Arial" w:cs="Arial"/>
        </w:rPr>
        <w:t xml:space="preserve"> ao incentivo </w:t>
      </w:r>
      <w:r w:rsidRPr="00D023AB">
        <w:rPr>
          <w:rFonts w:ascii="Arial" w:hAnsi="Arial" w:cs="Arial"/>
        </w:rPr>
        <w:t>(30%)</w:t>
      </w:r>
      <w:r w:rsidR="00545297">
        <w:rPr>
          <w:rFonts w:ascii="Arial" w:hAnsi="Arial" w:cs="Arial"/>
        </w:rPr>
        <w:t xml:space="preserve"> </w:t>
      </w:r>
      <w:r w:rsidR="00545297">
        <w:rPr>
          <w:rFonts w:ascii="Arial" w:hAnsi="Arial" w:cs="Arial"/>
        </w:rPr>
        <w:lastRenderedPageBreak/>
        <w:t xml:space="preserve">e o restante </w:t>
      </w:r>
      <w:r w:rsidR="00BE35C6">
        <w:rPr>
          <w:rFonts w:ascii="Arial" w:hAnsi="Arial" w:cs="Arial"/>
        </w:rPr>
        <w:t xml:space="preserve">os recursos próprios </w:t>
      </w:r>
      <w:r w:rsidR="00BF3B26">
        <w:rPr>
          <w:rFonts w:ascii="Arial" w:hAnsi="Arial" w:cs="Arial"/>
        </w:rPr>
        <w:t xml:space="preserve">(50%) </w:t>
      </w:r>
      <w:r w:rsidR="00DC0513">
        <w:rPr>
          <w:rFonts w:ascii="Arial" w:hAnsi="Arial" w:cs="Arial"/>
        </w:rPr>
        <w:t>depositados pela Companhia</w:t>
      </w:r>
      <w:r w:rsidRPr="00D023AB">
        <w:rPr>
          <w:rFonts w:ascii="Arial" w:hAnsi="Arial" w:cs="Arial"/>
        </w:rPr>
        <w:t xml:space="preserve">. </w:t>
      </w:r>
      <w:r w:rsidR="00474D18" w:rsidRPr="00D023AB">
        <w:rPr>
          <w:rFonts w:ascii="Arial" w:hAnsi="Arial" w:cs="Arial"/>
        </w:rPr>
        <w:t xml:space="preserve">O respectivo capital social, no montante de R$ 443, </w:t>
      </w:r>
      <w:r w:rsidR="00F006BF" w:rsidRPr="00D023AB">
        <w:rPr>
          <w:rFonts w:ascii="Arial" w:hAnsi="Arial" w:cs="Arial"/>
        </w:rPr>
        <w:t>foi</w:t>
      </w:r>
      <w:r w:rsidR="00474D18" w:rsidRPr="00D023AB">
        <w:rPr>
          <w:rFonts w:ascii="Arial" w:hAnsi="Arial" w:cs="Arial"/>
        </w:rPr>
        <w:t xml:space="preserve"> integralizado </w:t>
      </w:r>
      <w:r w:rsidR="00F006BF" w:rsidRPr="00D023AB">
        <w:rPr>
          <w:rFonts w:ascii="Arial" w:hAnsi="Arial" w:cs="Arial"/>
        </w:rPr>
        <w:t xml:space="preserve">em 29 de agosto de 2019, conforme descrito na </w:t>
      </w:r>
      <w:r w:rsidR="00F006BF" w:rsidRPr="00360E3F">
        <w:rPr>
          <w:rFonts w:ascii="Arial" w:hAnsi="Arial" w:cs="Arial"/>
        </w:rPr>
        <w:t>Nota 2</w:t>
      </w:r>
      <w:r w:rsidR="006442E0">
        <w:rPr>
          <w:rFonts w:ascii="Arial" w:hAnsi="Arial" w:cs="Arial"/>
        </w:rPr>
        <w:t>7</w:t>
      </w:r>
      <w:r w:rsidR="00F006BF" w:rsidRPr="00D023AB">
        <w:rPr>
          <w:rFonts w:ascii="Arial" w:hAnsi="Arial" w:cs="Arial"/>
        </w:rPr>
        <w:t>.</w:t>
      </w:r>
    </w:p>
    <w:p w14:paraId="4E2E2415" w14:textId="15888716" w:rsidR="005860E4" w:rsidRDefault="00C64259" w:rsidP="00C92677">
      <w:pPr>
        <w:autoSpaceDE w:val="0"/>
        <w:autoSpaceDN w:val="0"/>
        <w:adjustRightInd w:val="0"/>
        <w:jc w:val="both"/>
        <w:rPr>
          <w:rFonts w:ascii="Arial" w:hAnsi="Arial" w:cs="Arial"/>
        </w:rPr>
      </w:pPr>
      <w:r>
        <w:rPr>
          <w:rFonts w:ascii="Arial" w:hAnsi="Arial" w:cs="Arial"/>
        </w:rPr>
        <w:t xml:space="preserve">Quanto ao </w:t>
      </w:r>
      <w:r w:rsidR="008121DE">
        <w:rPr>
          <w:rFonts w:ascii="Arial" w:hAnsi="Arial" w:cs="Arial"/>
        </w:rPr>
        <w:t>incentivo fiscal referente ao exercício 2018</w:t>
      </w:r>
      <w:r w:rsidR="00F230AE">
        <w:rPr>
          <w:rFonts w:ascii="Arial" w:hAnsi="Arial" w:cs="Arial"/>
        </w:rPr>
        <w:t xml:space="preserve">, </w:t>
      </w:r>
      <w:r w:rsidR="0030684C">
        <w:rPr>
          <w:rFonts w:ascii="Arial" w:hAnsi="Arial" w:cs="Arial"/>
        </w:rPr>
        <w:t xml:space="preserve">foi </w:t>
      </w:r>
      <w:r w:rsidR="00B834DF">
        <w:rPr>
          <w:rFonts w:ascii="Arial" w:hAnsi="Arial" w:cs="Arial"/>
        </w:rPr>
        <w:t xml:space="preserve">protocolizado </w:t>
      </w:r>
      <w:r w:rsidR="00B82E18">
        <w:rPr>
          <w:rFonts w:ascii="Arial" w:hAnsi="Arial" w:cs="Arial"/>
        </w:rPr>
        <w:t xml:space="preserve">pleito junto a SUDENE em </w:t>
      </w:r>
      <w:r w:rsidR="00A10111">
        <w:rPr>
          <w:rFonts w:ascii="Arial" w:hAnsi="Arial" w:cs="Arial"/>
        </w:rPr>
        <w:t>27</w:t>
      </w:r>
      <w:r w:rsidR="001D6C7E">
        <w:rPr>
          <w:rFonts w:ascii="Arial" w:hAnsi="Arial" w:cs="Arial"/>
        </w:rPr>
        <w:t xml:space="preserve"> de dezembro de 2019</w:t>
      </w:r>
      <w:r w:rsidR="00596783">
        <w:rPr>
          <w:rFonts w:ascii="Arial" w:hAnsi="Arial" w:cs="Arial"/>
        </w:rPr>
        <w:t xml:space="preserve">, no montante de </w:t>
      </w:r>
      <w:r w:rsidR="00AB26EF">
        <w:rPr>
          <w:rFonts w:ascii="Arial" w:hAnsi="Arial" w:cs="Arial"/>
        </w:rPr>
        <w:t xml:space="preserve">R$ </w:t>
      </w:r>
      <w:r w:rsidR="009B0F55">
        <w:rPr>
          <w:rFonts w:ascii="Arial" w:hAnsi="Arial" w:cs="Arial"/>
        </w:rPr>
        <w:t>980</w:t>
      </w:r>
      <w:r w:rsidR="005B38FD">
        <w:rPr>
          <w:rFonts w:ascii="Arial" w:hAnsi="Arial" w:cs="Arial"/>
        </w:rPr>
        <w:t xml:space="preserve">, sendo </w:t>
      </w:r>
      <w:r w:rsidR="00AB0E65">
        <w:rPr>
          <w:rFonts w:ascii="Arial" w:hAnsi="Arial" w:cs="Arial"/>
        </w:rPr>
        <w:t xml:space="preserve">R$ </w:t>
      </w:r>
      <w:r w:rsidR="008A2B7C">
        <w:rPr>
          <w:rFonts w:ascii="Arial" w:hAnsi="Arial" w:cs="Arial"/>
        </w:rPr>
        <w:t xml:space="preserve">662 correspondente ao incentivo </w:t>
      </w:r>
      <w:r w:rsidR="00654FCE">
        <w:rPr>
          <w:rFonts w:ascii="Arial" w:hAnsi="Arial" w:cs="Arial"/>
        </w:rPr>
        <w:t xml:space="preserve">(30%) </w:t>
      </w:r>
      <w:r w:rsidR="00182158">
        <w:rPr>
          <w:rFonts w:ascii="Arial" w:hAnsi="Arial" w:cs="Arial"/>
        </w:rPr>
        <w:t>e o restante</w:t>
      </w:r>
      <w:r w:rsidR="00D81B99">
        <w:rPr>
          <w:rFonts w:ascii="Arial" w:hAnsi="Arial" w:cs="Arial"/>
        </w:rPr>
        <w:t>,</w:t>
      </w:r>
      <w:r w:rsidR="00182158">
        <w:rPr>
          <w:rFonts w:ascii="Arial" w:hAnsi="Arial" w:cs="Arial"/>
        </w:rPr>
        <w:t xml:space="preserve"> os recursos próprios (50%) depositados pela Companhia</w:t>
      </w:r>
      <w:r w:rsidR="00B84E40">
        <w:rPr>
          <w:rFonts w:ascii="Arial" w:hAnsi="Arial" w:cs="Arial"/>
        </w:rPr>
        <w:t>.</w:t>
      </w:r>
    </w:p>
    <w:p w14:paraId="233DBD49" w14:textId="248F17DF" w:rsidR="00F006BF" w:rsidRDefault="005860E4" w:rsidP="00C92677">
      <w:pPr>
        <w:autoSpaceDE w:val="0"/>
        <w:autoSpaceDN w:val="0"/>
        <w:adjustRightInd w:val="0"/>
        <w:jc w:val="both"/>
        <w:rPr>
          <w:rFonts w:ascii="Arial" w:hAnsi="Arial" w:cs="Arial"/>
        </w:rPr>
      </w:pPr>
      <w:r>
        <w:rPr>
          <w:rFonts w:ascii="Arial" w:hAnsi="Arial" w:cs="Arial"/>
        </w:rPr>
        <w:t xml:space="preserve">Em relação ao incentivo </w:t>
      </w:r>
      <w:r w:rsidR="00C834B3">
        <w:rPr>
          <w:rFonts w:ascii="Arial" w:hAnsi="Arial" w:cs="Arial"/>
        </w:rPr>
        <w:t xml:space="preserve">referente ao exercício 2019, </w:t>
      </w:r>
      <w:r w:rsidR="0030684C">
        <w:rPr>
          <w:rFonts w:ascii="Arial" w:hAnsi="Arial" w:cs="Arial"/>
        </w:rPr>
        <w:t xml:space="preserve">a Portaria </w:t>
      </w:r>
      <w:r w:rsidR="003D4482">
        <w:rPr>
          <w:rFonts w:ascii="Arial" w:hAnsi="Arial" w:cs="Arial"/>
        </w:rPr>
        <w:t>n° 3.114, de 23 de dezembro de 2019</w:t>
      </w:r>
      <w:r w:rsidR="002565D4">
        <w:rPr>
          <w:rFonts w:ascii="Arial" w:hAnsi="Arial" w:cs="Arial"/>
        </w:rPr>
        <w:t xml:space="preserve"> </w:t>
      </w:r>
      <w:r w:rsidR="0032157E">
        <w:rPr>
          <w:rFonts w:ascii="Arial" w:hAnsi="Arial" w:cs="Arial"/>
        </w:rPr>
        <w:t xml:space="preserve">do </w:t>
      </w:r>
      <w:r w:rsidR="00277F27">
        <w:rPr>
          <w:rFonts w:ascii="Arial" w:hAnsi="Arial" w:cs="Arial"/>
        </w:rPr>
        <w:t>M</w:t>
      </w:r>
      <w:r w:rsidR="0032157E">
        <w:rPr>
          <w:rFonts w:ascii="Arial" w:hAnsi="Arial" w:cs="Arial"/>
        </w:rPr>
        <w:t xml:space="preserve">inistério do </w:t>
      </w:r>
      <w:r w:rsidR="00277F27">
        <w:rPr>
          <w:rFonts w:ascii="Arial" w:hAnsi="Arial" w:cs="Arial"/>
        </w:rPr>
        <w:t>D</w:t>
      </w:r>
      <w:r w:rsidR="0032157E">
        <w:rPr>
          <w:rFonts w:ascii="Arial" w:hAnsi="Arial" w:cs="Arial"/>
        </w:rPr>
        <w:t xml:space="preserve">esenvolvimento </w:t>
      </w:r>
      <w:r w:rsidR="00277F27">
        <w:rPr>
          <w:rFonts w:ascii="Arial" w:hAnsi="Arial" w:cs="Arial"/>
        </w:rPr>
        <w:t>R</w:t>
      </w:r>
      <w:r w:rsidR="0032157E">
        <w:rPr>
          <w:rFonts w:ascii="Arial" w:hAnsi="Arial" w:cs="Arial"/>
        </w:rPr>
        <w:t>egional</w:t>
      </w:r>
      <w:r w:rsidR="00E25214">
        <w:rPr>
          <w:rFonts w:ascii="Arial" w:hAnsi="Arial" w:cs="Arial"/>
        </w:rPr>
        <w:t xml:space="preserve"> </w:t>
      </w:r>
      <w:r w:rsidR="00A119AF">
        <w:rPr>
          <w:rFonts w:ascii="Arial" w:hAnsi="Arial" w:cs="Arial"/>
        </w:rPr>
        <w:t>–</w:t>
      </w:r>
      <w:r w:rsidR="00E25214">
        <w:rPr>
          <w:rFonts w:ascii="Arial" w:hAnsi="Arial" w:cs="Arial"/>
        </w:rPr>
        <w:t xml:space="preserve"> MDR</w:t>
      </w:r>
      <w:r w:rsidR="00A119AF">
        <w:rPr>
          <w:rFonts w:ascii="Arial" w:hAnsi="Arial" w:cs="Arial"/>
        </w:rPr>
        <w:t xml:space="preserve"> </w:t>
      </w:r>
      <w:r w:rsidR="004B3C7F">
        <w:rPr>
          <w:rFonts w:ascii="Arial" w:hAnsi="Arial" w:cs="Arial"/>
        </w:rPr>
        <w:t>determin</w:t>
      </w:r>
      <w:r w:rsidR="00A119AF">
        <w:rPr>
          <w:rFonts w:ascii="Arial" w:hAnsi="Arial" w:cs="Arial"/>
        </w:rPr>
        <w:t>ou</w:t>
      </w:r>
      <w:r w:rsidR="004B3C7F">
        <w:rPr>
          <w:rFonts w:ascii="Arial" w:hAnsi="Arial" w:cs="Arial"/>
        </w:rPr>
        <w:t xml:space="preserve"> que </w:t>
      </w:r>
      <w:r w:rsidR="00DA7EAE">
        <w:rPr>
          <w:rFonts w:ascii="Arial" w:hAnsi="Arial" w:cs="Arial"/>
        </w:rPr>
        <w:t xml:space="preserve">os depósitos para reinvestimento </w:t>
      </w:r>
      <w:r w:rsidR="00D16F31">
        <w:rPr>
          <w:rFonts w:ascii="Arial" w:hAnsi="Arial" w:cs="Arial"/>
        </w:rPr>
        <w:t>relativos ao</w:t>
      </w:r>
      <w:r w:rsidR="00BF2DE2">
        <w:rPr>
          <w:rFonts w:ascii="Arial" w:hAnsi="Arial" w:cs="Arial"/>
        </w:rPr>
        <w:t xml:space="preserve"> </w:t>
      </w:r>
      <w:r w:rsidR="00E92429">
        <w:rPr>
          <w:rFonts w:ascii="Arial" w:hAnsi="Arial" w:cs="Arial"/>
        </w:rPr>
        <w:t xml:space="preserve">citado </w:t>
      </w:r>
      <w:r w:rsidR="00BF2DE2">
        <w:rPr>
          <w:rFonts w:ascii="Arial" w:hAnsi="Arial" w:cs="Arial"/>
        </w:rPr>
        <w:t xml:space="preserve">ano-base </w:t>
      </w:r>
      <w:r w:rsidR="00395180">
        <w:rPr>
          <w:rFonts w:ascii="Arial" w:hAnsi="Arial" w:cs="Arial"/>
        </w:rPr>
        <w:t>fossem revertidos em favor da União</w:t>
      </w:r>
      <w:r w:rsidR="000D0F11">
        <w:rPr>
          <w:rFonts w:ascii="Arial" w:hAnsi="Arial" w:cs="Arial"/>
        </w:rPr>
        <w:t>,</w:t>
      </w:r>
      <w:r w:rsidR="006B2FA0">
        <w:rPr>
          <w:rFonts w:ascii="Arial" w:hAnsi="Arial" w:cs="Arial"/>
        </w:rPr>
        <w:t xml:space="preserve"> </w:t>
      </w:r>
      <w:r w:rsidR="000654EC">
        <w:rPr>
          <w:rFonts w:ascii="Arial" w:hAnsi="Arial" w:cs="Arial"/>
        </w:rPr>
        <w:t xml:space="preserve">tendo em vista </w:t>
      </w:r>
      <w:r w:rsidR="001B5A3E">
        <w:rPr>
          <w:rFonts w:ascii="Arial" w:hAnsi="Arial" w:cs="Arial"/>
        </w:rPr>
        <w:t xml:space="preserve">que o benefício </w:t>
      </w:r>
      <w:r w:rsidR="0099771E">
        <w:rPr>
          <w:rFonts w:ascii="Arial" w:hAnsi="Arial" w:cs="Arial"/>
        </w:rPr>
        <w:t xml:space="preserve">possa gerar renúncia </w:t>
      </w:r>
      <w:r w:rsidR="006E0146">
        <w:rPr>
          <w:rFonts w:ascii="Arial" w:hAnsi="Arial" w:cs="Arial"/>
        </w:rPr>
        <w:t>somente em</w:t>
      </w:r>
      <w:r w:rsidR="00FB6BC9">
        <w:rPr>
          <w:rFonts w:ascii="Arial" w:hAnsi="Arial" w:cs="Arial"/>
        </w:rPr>
        <w:t xml:space="preserve"> 2020, </w:t>
      </w:r>
      <w:r w:rsidR="00D415E7">
        <w:rPr>
          <w:rFonts w:ascii="Arial" w:hAnsi="Arial" w:cs="Arial"/>
        </w:rPr>
        <w:t>quando</w:t>
      </w:r>
      <w:r w:rsidR="00736F5A">
        <w:rPr>
          <w:rFonts w:ascii="Arial" w:hAnsi="Arial" w:cs="Arial"/>
        </w:rPr>
        <w:t xml:space="preserve"> de sua previsão na L</w:t>
      </w:r>
      <w:r w:rsidR="00C77C82">
        <w:rPr>
          <w:rFonts w:ascii="Arial" w:hAnsi="Arial" w:cs="Arial"/>
        </w:rPr>
        <w:t xml:space="preserve">ei </w:t>
      </w:r>
      <w:r w:rsidR="00736F5A">
        <w:rPr>
          <w:rFonts w:ascii="Arial" w:hAnsi="Arial" w:cs="Arial"/>
        </w:rPr>
        <w:t>O</w:t>
      </w:r>
      <w:r w:rsidR="00C77C82">
        <w:rPr>
          <w:rFonts w:ascii="Arial" w:hAnsi="Arial" w:cs="Arial"/>
        </w:rPr>
        <w:t xml:space="preserve">rçamentária </w:t>
      </w:r>
      <w:r w:rsidR="00736F5A">
        <w:rPr>
          <w:rFonts w:ascii="Arial" w:hAnsi="Arial" w:cs="Arial"/>
        </w:rPr>
        <w:t>A</w:t>
      </w:r>
      <w:r w:rsidR="00C77C82">
        <w:rPr>
          <w:rFonts w:ascii="Arial" w:hAnsi="Arial" w:cs="Arial"/>
        </w:rPr>
        <w:t>nual - LOA</w:t>
      </w:r>
      <w:r w:rsidR="00736F5A">
        <w:rPr>
          <w:rFonts w:ascii="Arial" w:hAnsi="Arial" w:cs="Arial"/>
        </w:rPr>
        <w:t>.</w:t>
      </w:r>
      <w:r w:rsidR="00C834B3">
        <w:rPr>
          <w:rFonts w:ascii="Arial" w:hAnsi="Arial" w:cs="Arial"/>
        </w:rPr>
        <w:t xml:space="preserve"> </w:t>
      </w:r>
      <w:r w:rsidR="006F35E2">
        <w:rPr>
          <w:rFonts w:ascii="Arial" w:hAnsi="Arial" w:cs="Arial"/>
        </w:rPr>
        <w:t xml:space="preserve">Dessa forma, o Banco do Nordeste </w:t>
      </w:r>
      <w:r w:rsidR="0050142A">
        <w:rPr>
          <w:rFonts w:ascii="Arial" w:hAnsi="Arial" w:cs="Arial"/>
        </w:rPr>
        <w:t xml:space="preserve">efetuou </w:t>
      </w:r>
      <w:r w:rsidR="006000A9">
        <w:rPr>
          <w:rFonts w:ascii="Arial" w:hAnsi="Arial" w:cs="Arial"/>
        </w:rPr>
        <w:t>recolhimento</w:t>
      </w:r>
      <w:r w:rsidR="0050142A">
        <w:rPr>
          <w:rFonts w:ascii="Arial" w:hAnsi="Arial" w:cs="Arial"/>
        </w:rPr>
        <w:t xml:space="preserve"> </w:t>
      </w:r>
      <w:r w:rsidR="00E2716B">
        <w:rPr>
          <w:rFonts w:ascii="Arial" w:hAnsi="Arial" w:cs="Arial"/>
        </w:rPr>
        <w:t>em favor da União</w:t>
      </w:r>
      <w:r w:rsidR="008B15F3">
        <w:rPr>
          <w:rFonts w:ascii="Arial" w:hAnsi="Arial" w:cs="Arial"/>
        </w:rPr>
        <w:t xml:space="preserve"> em </w:t>
      </w:r>
      <w:r w:rsidR="00FF21E8">
        <w:rPr>
          <w:rFonts w:ascii="Arial" w:hAnsi="Arial" w:cs="Arial"/>
        </w:rPr>
        <w:t xml:space="preserve">30 de dezembro de 2019 e </w:t>
      </w:r>
      <w:r w:rsidR="00D81B99">
        <w:rPr>
          <w:rFonts w:ascii="Arial" w:hAnsi="Arial" w:cs="Arial"/>
        </w:rPr>
        <w:t>efetuará a devolução à Companhia em 2020</w:t>
      </w:r>
      <w:r w:rsidR="002C34A0">
        <w:rPr>
          <w:rFonts w:ascii="Arial" w:hAnsi="Arial" w:cs="Arial"/>
        </w:rPr>
        <w:t>.</w:t>
      </w:r>
      <w:r w:rsidR="00374BAE">
        <w:rPr>
          <w:rFonts w:ascii="Arial" w:hAnsi="Arial" w:cs="Arial"/>
        </w:rPr>
        <w:t xml:space="preserve"> </w:t>
      </w:r>
      <w:r w:rsidR="002E2D83" w:rsidRPr="003234C5">
        <w:rPr>
          <w:rFonts w:ascii="Arial" w:hAnsi="Arial" w:cs="Arial"/>
        </w:rPr>
        <w:t>A tabela a seguir evidencia os valores dos depósitos de reinvestimento por competência</w:t>
      </w:r>
      <w:r w:rsidR="00203B6D">
        <w:rPr>
          <w:rFonts w:ascii="Arial" w:hAnsi="Arial" w:cs="Arial"/>
        </w:rPr>
        <w:t>, na posição de 31 de dezembro de 2019 e 2018</w:t>
      </w:r>
      <w:r w:rsidR="002E2D83" w:rsidRPr="003234C5">
        <w:rPr>
          <w:rFonts w:ascii="Arial" w:hAnsi="Arial" w:cs="Arial"/>
        </w:rPr>
        <w:t>:</w:t>
      </w:r>
    </w:p>
    <w:p w14:paraId="209388ED" w14:textId="77777777" w:rsidR="00C62487" w:rsidRPr="003234C5" w:rsidRDefault="00C62487" w:rsidP="00C92677">
      <w:pPr>
        <w:autoSpaceDE w:val="0"/>
        <w:autoSpaceDN w:val="0"/>
        <w:adjustRightInd w:val="0"/>
        <w:jc w:val="both"/>
        <w:rPr>
          <w:rFonts w:ascii="Arial" w:hAnsi="Arial" w:cs="Arial"/>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7"/>
        <w:gridCol w:w="1411"/>
        <w:gridCol w:w="1411"/>
      </w:tblGrid>
      <w:tr w:rsidR="000C50F2" w:rsidRPr="003234C5" w14:paraId="553623E4" w14:textId="77777777" w:rsidTr="00ED663C">
        <w:trPr>
          <w:trHeight w:val="227"/>
          <w:jc w:val="center"/>
        </w:trPr>
        <w:tc>
          <w:tcPr>
            <w:tcW w:w="6147" w:type="dxa"/>
            <w:shd w:val="clear" w:color="auto" w:fill="C0C0C0"/>
            <w:vAlign w:val="center"/>
          </w:tcPr>
          <w:p w14:paraId="55570EB4" w14:textId="77777777" w:rsidR="000C50F2" w:rsidRPr="003234C5" w:rsidRDefault="000C50F2" w:rsidP="000C50F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w:t>
            </w:r>
          </w:p>
        </w:tc>
        <w:tc>
          <w:tcPr>
            <w:tcW w:w="1411" w:type="dxa"/>
            <w:shd w:val="clear" w:color="auto" w:fill="C0C0C0"/>
            <w:vAlign w:val="bottom"/>
          </w:tcPr>
          <w:p w14:paraId="6472C885" w14:textId="183FAECB" w:rsidR="000C50F2" w:rsidRDefault="000C50F2" w:rsidP="000C50F2">
            <w:pPr>
              <w:spacing w:after="0"/>
              <w:jc w:val="center"/>
              <w:rPr>
                <w:rFonts w:ascii="Arial" w:hAnsi="Arial" w:cs="Arial"/>
                <w:b/>
                <w:bCs/>
                <w:color w:val="000000"/>
                <w:sz w:val="20"/>
                <w:szCs w:val="20"/>
              </w:rPr>
            </w:pPr>
            <w:r>
              <w:rPr>
                <w:rFonts w:ascii="Arial" w:hAnsi="Arial" w:cs="Arial"/>
                <w:b/>
                <w:bCs/>
                <w:color w:val="000000"/>
                <w:sz w:val="20"/>
                <w:szCs w:val="20"/>
              </w:rPr>
              <w:t>2019</w:t>
            </w:r>
          </w:p>
        </w:tc>
        <w:tc>
          <w:tcPr>
            <w:tcW w:w="1411" w:type="dxa"/>
            <w:shd w:val="clear" w:color="auto" w:fill="C0C0C0"/>
          </w:tcPr>
          <w:p w14:paraId="65E23418" w14:textId="3F3E2F95" w:rsidR="000C50F2" w:rsidRDefault="000C50F2" w:rsidP="000C50F2">
            <w:pPr>
              <w:spacing w:after="0"/>
              <w:jc w:val="center"/>
              <w:rPr>
                <w:rFonts w:ascii="Arial" w:hAnsi="Arial" w:cs="Arial"/>
                <w:b/>
                <w:bCs/>
                <w:color w:val="000000"/>
                <w:sz w:val="20"/>
                <w:szCs w:val="20"/>
              </w:rPr>
            </w:pPr>
            <w:r>
              <w:rPr>
                <w:rFonts w:ascii="Arial" w:hAnsi="Arial" w:cs="Arial"/>
                <w:b/>
                <w:bCs/>
                <w:color w:val="000000"/>
                <w:sz w:val="20"/>
                <w:szCs w:val="20"/>
              </w:rPr>
              <w:t>2018</w:t>
            </w:r>
          </w:p>
        </w:tc>
      </w:tr>
      <w:tr w:rsidR="002015E6" w:rsidRPr="003234C5" w14:paraId="2D03E65D" w14:textId="77777777" w:rsidTr="00ED663C">
        <w:trPr>
          <w:trHeight w:val="227"/>
          <w:jc w:val="center"/>
        </w:trPr>
        <w:tc>
          <w:tcPr>
            <w:tcW w:w="6147" w:type="dxa"/>
            <w:shd w:val="clear" w:color="auto" w:fill="FFFFFF"/>
            <w:vAlign w:val="bottom"/>
          </w:tcPr>
          <w:p w14:paraId="26F1E6C7" w14:textId="619B939F" w:rsidR="002015E6" w:rsidRPr="003234C5" w:rsidRDefault="002015E6" w:rsidP="000C50F2">
            <w:pPr>
              <w:spacing w:after="0"/>
              <w:jc w:val="both"/>
              <w:rPr>
                <w:rFonts w:ascii="Arial" w:hAnsi="Arial" w:cs="Arial"/>
                <w:sz w:val="20"/>
                <w:szCs w:val="20"/>
              </w:rPr>
            </w:pPr>
            <w:r>
              <w:rPr>
                <w:rFonts w:ascii="Arial" w:hAnsi="Arial" w:cs="Arial"/>
                <w:sz w:val="20"/>
                <w:szCs w:val="20"/>
              </w:rPr>
              <w:t>Ano Base 2017</w:t>
            </w:r>
          </w:p>
        </w:tc>
        <w:tc>
          <w:tcPr>
            <w:tcW w:w="1411" w:type="dxa"/>
            <w:shd w:val="clear" w:color="auto" w:fill="FFFFFF"/>
            <w:vAlign w:val="center"/>
          </w:tcPr>
          <w:p w14:paraId="292F315E" w14:textId="097B04FE" w:rsidR="002015E6" w:rsidRDefault="00DB5EDD" w:rsidP="000C50F2">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w:t>
            </w:r>
          </w:p>
        </w:tc>
        <w:tc>
          <w:tcPr>
            <w:tcW w:w="1411" w:type="dxa"/>
            <w:shd w:val="clear" w:color="auto" w:fill="FFFFFF"/>
          </w:tcPr>
          <w:p w14:paraId="1285AB28" w14:textId="4820D342" w:rsidR="002015E6" w:rsidRDefault="0055141F" w:rsidP="000C50F2">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666</w:t>
            </w:r>
          </w:p>
        </w:tc>
      </w:tr>
      <w:tr w:rsidR="000C50F2" w:rsidRPr="003234C5" w14:paraId="1CCCD4C9" w14:textId="77777777" w:rsidTr="00ED663C">
        <w:trPr>
          <w:trHeight w:val="227"/>
          <w:jc w:val="center"/>
        </w:trPr>
        <w:tc>
          <w:tcPr>
            <w:tcW w:w="6147" w:type="dxa"/>
            <w:shd w:val="clear" w:color="auto" w:fill="FFFFFF"/>
            <w:vAlign w:val="bottom"/>
          </w:tcPr>
          <w:p w14:paraId="190BBE24" w14:textId="03C70EA9" w:rsidR="000C50F2" w:rsidRPr="003234C5" w:rsidRDefault="000C50F2" w:rsidP="000C50F2">
            <w:pPr>
              <w:spacing w:after="0"/>
              <w:jc w:val="both"/>
              <w:rPr>
                <w:rFonts w:ascii="Arial" w:hAnsi="Arial" w:cs="Arial"/>
                <w:sz w:val="20"/>
                <w:szCs w:val="20"/>
              </w:rPr>
            </w:pPr>
            <w:r w:rsidRPr="003234C5">
              <w:rPr>
                <w:rFonts w:ascii="Arial" w:hAnsi="Arial" w:cs="Arial"/>
                <w:sz w:val="20"/>
                <w:szCs w:val="20"/>
              </w:rPr>
              <w:t>Ano Base 2018</w:t>
            </w:r>
          </w:p>
        </w:tc>
        <w:tc>
          <w:tcPr>
            <w:tcW w:w="1411" w:type="dxa"/>
            <w:shd w:val="clear" w:color="auto" w:fill="FFFFFF"/>
            <w:vAlign w:val="center"/>
          </w:tcPr>
          <w:p w14:paraId="6C14424C" w14:textId="5E215392" w:rsidR="000C50F2" w:rsidRDefault="000C50F2" w:rsidP="000C50F2">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980</w:t>
            </w:r>
          </w:p>
        </w:tc>
        <w:tc>
          <w:tcPr>
            <w:tcW w:w="1411" w:type="dxa"/>
            <w:shd w:val="clear" w:color="auto" w:fill="FFFFFF"/>
          </w:tcPr>
          <w:p w14:paraId="51B8F7EA" w14:textId="17F01452" w:rsidR="000C50F2" w:rsidRDefault="009C1ACA" w:rsidP="000C50F2">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907</w:t>
            </w:r>
          </w:p>
        </w:tc>
      </w:tr>
      <w:tr w:rsidR="000C50F2" w:rsidRPr="003234C5" w14:paraId="799A3080" w14:textId="77777777" w:rsidTr="00ED663C">
        <w:trPr>
          <w:trHeight w:val="227"/>
          <w:jc w:val="center"/>
        </w:trPr>
        <w:tc>
          <w:tcPr>
            <w:tcW w:w="6147" w:type="dxa"/>
            <w:shd w:val="clear" w:color="auto" w:fill="FFFFFF"/>
            <w:vAlign w:val="bottom"/>
          </w:tcPr>
          <w:p w14:paraId="790BD538" w14:textId="14157079" w:rsidR="000C50F2" w:rsidRPr="003234C5" w:rsidRDefault="000C50F2" w:rsidP="000C50F2">
            <w:pPr>
              <w:spacing w:after="0"/>
              <w:jc w:val="both"/>
              <w:rPr>
                <w:rFonts w:ascii="Arial" w:hAnsi="Arial" w:cs="Arial"/>
                <w:bCs/>
                <w:sz w:val="20"/>
                <w:szCs w:val="20"/>
              </w:rPr>
            </w:pPr>
            <w:r w:rsidRPr="003234C5">
              <w:rPr>
                <w:rFonts w:ascii="Arial" w:hAnsi="Arial" w:cs="Arial"/>
                <w:sz w:val="20"/>
                <w:szCs w:val="20"/>
              </w:rPr>
              <w:t>Ano Base 2019</w:t>
            </w:r>
          </w:p>
        </w:tc>
        <w:tc>
          <w:tcPr>
            <w:tcW w:w="1411" w:type="dxa"/>
            <w:shd w:val="clear" w:color="auto" w:fill="FFFFFF"/>
            <w:vAlign w:val="center"/>
          </w:tcPr>
          <w:p w14:paraId="005AC368" w14:textId="3F900039" w:rsidR="000C50F2" w:rsidRDefault="000C50F2" w:rsidP="000C50F2">
            <w:pPr>
              <w:spacing w:after="0"/>
              <w:jc w:val="right"/>
              <w:rPr>
                <w:rFonts w:ascii="Arial" w:hAnsi="Arial" w:cs="Arial"/>
                <w:sz w:val="20"/>
                <w:szCs w:val="20"/>
              </w:rPr>
            </w:pPr>
            <w:r>
              <w:rPr>
                <w:rFonts w:ascii="Arial" w:hAnsi="Arial" w:cs="Arial"/>
                <w:sz w:val="20"/>
                <w:szCs w:val="20"/>
              </w:rPr>
              <w:t>372</w:t>
            </w:r>
          </w:p>
        </w:tc>
        <w:tc>
          <w:tcPr>
            <w:tcW w:w="1411" w:type="dxa"/>
            <w:shd w:val="clear" w:color="auto" w:fill="FFFFFF"/>
          </w:tcPr>
          <w:p w14:paraId="62BFA0CD" w14:textId="61063A71" w:rsidR="000C50F2" w:rsidRDefault="00354C00" w:rsidP="000C50F2">
            <w:pPr>
              <w:spacing w:after="0"/>
              <w:jc w:val="right"/>
              <w:rPr>
                <w:rFonts w:ascii="Arial" w:hAnsi="Arial" w:cs="Arial"/>
                <w:sz w:val="20"/>
                <w:szCs w:val="20"/>
              </w:rPr>
            </w:pPr>
            <w:r>
              <w:rPr>
                <w:rFonts w:ascii="Arial" w:hAnsi="Arial" w:cs="Arial"/>
                <w:sz w:val="20"/>
                <w:szCs w:val="20"/>
              </w:rPr>
              <w:t>-</w:t>
            </w:r>
          </w:p>
        </w:tc>
      </w:tr>
      <w:tr w:rsidR="000C50F2" w:rsidRPr="003234C5" w14:paraId="543C36F1" w14:textId="77777777" w:rsidTr="00ED663C">
        <w:trPr>
          <w:trHeight w:val="227"/>
          <w:jc w:val="center"/>
        </w:trPr>
        <w:tc>
          <w:tcPr>
            <w:tcW w:w="6147" w:type="dxa"/>
            <w:shd w:val="clear" w:color="auto" w:fill="C0C0C0"/>
            <w:vAlign w:val="center"/>
          </w:tcPr>
          <w:p w14:paraId="5ED4A017" w14:textId="77777777" w:rsidR="000C50F2" w:rsidRPr="003234C5" w:rsidRDefault="000C50F2" w:rsidP="000C50F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411" w:type="dxa"/>
            <w:shd w:val="clear" w:color="auto" w:fill="C0C0C0"/>
            <w:vAlign w:val="center"/>
          </w:tcPr>
          <w:p w14:paraId="10BFFBDC" w14:textId="12657209" w:rsidR="000C50F2" w:rsidRDefault="000C50F2" w:rsidP="000C50F2">
            <w:pPr>
              <w:suppressAutoHyphens w:val="0"/>
              <w:spacing w:after="0" w:line="240" w:lineRule="auto"/>
              <w:jc w:val="right"/>
              <w:rPr>
                <w:rFonts w:ascii="Arial" w:eastAsia="Times New Roman" w:hAnsi="Arial" w:cs="Arial"/>
                <w:b/>
                <w:color w:val="000000"/>
                <w:kern w:val="0"/>
                <w:sz w:val="20"/>
                <w:szCs w:val="20"/>
                <w:lang w:eastAsia="pt-BR"/>
              </w:rPr>
            </w:pPr>
            <w:r>
              <w:rPr>
                <w:rFonts w:ascii="Arial" w:eastAsia="Times New Roman" w:hAnsi="Arial" w:cs="Arial"/>
                <w:b/>
                <w:color w:val="000000"/>
                <w:kern w:val="0"/>
                <w:sz w:val="20"/>
                <w:szCs w:val="20"/>
                <w:lang w:eastAsia="pt-BR"/>
              </w:rPr>
              <w:t>1.352</w:t>
            </w:r>
          </w:p>
        </w:tc>
        <w:tc>
          <w:tcPr>
            <w:tcW w:w="1411" w:type="dxa"/>
            <w:shd w:val="clear" w:color="auto" w:fill="C0C0C0"/>
          </w:tcPr>
          <w:p w14:paraId="239D4173" w14:textId="55CC299B" w:rsidR="000C50F2" w:rsidRDefault="005125B2" w:rsidP="000C50F2">
            <w:pPr>
              <w:suppressAutoHyphens w:val="0"/>
              <w:spacing w:after="0" w:line="240" w:lineRule="auto"/>
              <w:jc w:val="right"/>
              <w:rPr>
                <w:rFonts w:ascii="Arial" w:eastAsia="Times New Roman" w:hAnsi="Arial" w:cs="Arial"/>
                <w:b/>
                <w:color w:val="000000"/>
                <w:kern w:val="0"/>
                <w:sz w:val="20"/>
                <w:szCs w:val="20"/>
                <w:lang w:eastAsia="pt-BR"/>
              </w:rPr>
            </w:pPr>
            <w:r>
              <w:rPr>
                <w:rFonts w:ascii="Arial" w:eastAsia="Times New Roman" w:hAnsi="Arial" w:cs="Arial"/>
                <w:b/>
                <w:color w:val="000000"/>
                <w:kern w:val="0"/>
                <w:sz w:val="20"/>
                <w:szCs w:val="20"/>
                <w:lang w:eastAsia="pt-BR"/>
              </w:rPr>
              <w:t>1.573</w:t>
            </w:r>
          </w:p>
        </w:tc>
      </w:tr>
    </w:tbl>
    <w:p w14:paraId="36ACF496" w14:textId="00C2F445" w:rsidR="00474D18" w:rsidRPr="003234C5" w:rsidRDefault="00474D18" w:rsidP="00C92677">
      <w:pPr>
        <w:autoSpaceDE w:val="0"/>
        <w:autoSpaceDN w:val="0"/>
        <w:adjustRightInd w:val="0"/>
        <w:jc w:val="both"/>
        <w:rPr>
          <w:rFonts w:ascii="Arial" w:hAnsi="Arial" w:cs="Arial"/>
        </w:rPr>
      </w:pPr>
    </w:p>
    <w:p w14:paraId="4BC7BC90" w14:textId="613D57A1" w:rsidR="00AA210D" w:rsidRPr="003234C5" w:rsidRDefault="00AA210D" w:rsidP="00AA210D">
      <w:pPr>
        <w:autoSpaceDE w:val="0"/>
        <w:autoSpaceDN w:val="0"/>
        <w:adjustRightInd w:val="0"/>
        <w:jc w:val="both"/>
        <w:rPr>
          <w:rFonts w:ascii="Arial" w:hAnsi="Arial" w:cs="Arial"/>
          <w:b/>
        </w:rPr>
      </w:pPr>
      <w:r w:rsidRPr="003234C5">
        <w:rPr>
          <w:rFonts w:ascii="Arial" w:hAnsi="Arial" w:cs="Arial"/>
          <w:b/>
        </w:rPr>
        <w:t xml:space="preserve">NOTA 17. </w:t>
      </w:r>
      <w:r>
        <w:rPr>
          <w:rFonts w:ascii="Arial" w:hAnsi="Arial" w:cs="Arial"/>
          <w:b/>
        </w:rPr>
        <w:t>IMOBILIZADO</w:t>
      </w:r>
    </w:p>
    <w:p w14:paraId="4E69CC19" w14:textId="4B76008C" w:rsidR="00AA210D" w:rsidRDefault="0076798F" w:rsidP="00200682">
      <w:pPr>
        <w:autoSpaceDE w:val="0"/>
        <w:autoSpaceDN w:val="0"/>
        <w:adjustRightInd w:val="0"/>
        <w:jc w:val="both"/>
        <w:rPr>
          <w:rFonts w:ascii="Arial" w:hAnsi="Arial" w:cs="Arial"/>
        </w:rPr>
      </w:pPr>
      <w:r w:rsidRPr="005B1D85">
        <w:rPr>
          <w:rFonts w:ascii="Arial" w:hAnsi="Arial" w:cs="Arial"/>
        </w:rPr>
        <w:t xml:space="preserve">Os valores reconhecidos no Imobilizado decorrem do </w:t>
      </w:r>
      <w:r w:rsidR="00801A1C" w:rsidRPr="005B1D85">
        <w:rPr>
          <w:rFonts w:ascii="Arial" w:hAnsi="Arial" w:cs="Arial"/>
        </w:rPr>
        <w:t>Arrendamento</w:t>
      </w:r>
      <w:r w:rsidR="00E05ABE" w:rsidRPr="005B1D85">
        <w:rPr>
          <w:rFonts w:ascii="Arial" w:hAnsi="Arial" w:cs="Arial"/>
        </w:rPr>
        <w:t xml:space="preserve">, adequando-se ao </w:t>
      </w:r>
      <w:r w:rsidR="005B1D85" w:rsidRPr="005B1D85">
        <w:rPr>
          <w:rFonts w:ascii="Arial" w:hAnsi="Arial" w:cs="Arial"/>
        </w:rPr>
        <w:t>IFRS 16</w:t>
      </w:r>
      <w:r w:rsidR="005B1D85">
        <w:rPr>
          <w:rFonts w:ascii="Arial" w:hAnsi="Arial" w:cs="Arial"/>
        </w:rPr>
        <w:t>, conforme Nota 5.</w:t>
      </w:r>
      <w:r w:rsidR="005B1D85" w:rsidRPr="005B1D85">
        <w:rPr>
          <w:rFonts w:ascii="Arial" w:hAnsi="Arial" w:cs="Arial"/>
        </w:rPr>
        <w:t xml:space="preserve"> </w:t>
      </w:r>
      <w:r w:rsidR="005B1D85">
        <w:rPr>
          <w:rFonts w:ascii="Arial" w:hAnsi="Arial" w:cs="Arial"/>
        </w:rPr>
        <w:t>S</w:t>
      </w:r>
      <w:r w:rsidRPr="005B1D85">
        <w:rPr>
          <w:rFonts w:ascii="Arial" w:hAnsi="Arial" w:cs="Arial"/>
        </w:rPr>
        <w:t xml:space="preserve">eu montante total é constituído pelo valor de custo dos ativos construídos ou adquiridos para fins de prestação de serviços de concessão. O montante das amortizações acumuladas está destacado pelo total. Devido à característica das atividades operacionais, a </w:t>
      </w:r>
      <w:r w:rsidR="005B1D85">
        <w:rPr>
          <w:rFonts w:ascii="Arial" w:hAnsi="Arial" w:cs="Arial"/>
        </w:rPr>
        <w:t>depreciação</w:t>
      </w:r>
      <w:r w:rsidRPr="005B1D85">
        <w:rPr>
          <w:rFonts w:ascii="Arial" w:hAnsi="Arial" w:cs="Arial"/>
        </w:rPr>
        <w:t xml:space="preserve"> do i</w:t>
      </w:r>
      <w:r w:rsidR="005B1D85">
        <w:rPr>
          <w:rFonts w:ascii="Arial" w:hAnsi="Arial" w:cs="Arial"/>
        </w:rPr>
        <w:t>mobilizado</w:t>
      </w:r>
      <w:r w:rsidRPr="005B1D85">
        <w:rPr>
          <w:rFonts w:ascii="Arial" w:hAnsi="Arial" w:cs="Arial"/>
        </w:rPr>
        <w:t xml:space="preserve"> tem início quando o bem que lhe deu origem entra em operação.</w:t>
      </w:r>
      <w:r w:rsidR="005B1D85">
        <w:rPr>
          <w:rFonts w:ascii="Arial" w:hAnsi="Arial" w:cs="Arial"/>
        </w:rPr>
        <w:t xml:space="preserve"> Vale destacar que tal</w:t>
      </w:r>
      <w:r w:rsidR="0008341A">
        <w:rPr>
          <w:rFonts w:ascii="Arial" w:hAnsi="Arial" w:cs="Arial"/>
        </w:rPr>
        <w:t xml:space="preserve"> bem não faz parte do contrato de concessão da Companhia, não configurando um Ativo Intangível. Logo, </w:t>
      </w:r>
      <w:proofErr w:type="gramStart"/>
      <w:r w:rsidR="0008341A">
        <w:rPr>
          <w:rFonts w:ascii="Arial" w:hAnsi="Arial" w:cs="Arial"/>
        </w:rPr>
        <w:t>o mesmo</w:t>
      </w:r>
      <w:proofErr w:type="gramEnd"/>
      <w:r w:rsidR="0008341A">
        <w:rPr>
          <w:rFonts w:ascii="Arial" w:hAnsi="Arial" w:cs="Arial"/>
        </w:rPr>
        <w:t xml:space="preserve"> passou a ser classificado como Ativo Imobilizado</w:t>
      </w:r>
      <w:r w:rsidR="00826552">
        <w:rPr>
          <w:rFonts w:ascii="Arial" w:hAnsi="Arial" w:cs="Arial"/>
        </w:rPr>
        <w:t>, conforme definido pelo CPC 06</w:t>
      </w:r>
      <w:r w:rsidR="0008341A">
        <w:rPr>
          <w:rFonts w:ascii="Arial" w:hAnsi="Arial" w:cs="Arial"/>
        </w:rPr>
        <w:t xml:space="preserve">.  </w:t>
      </w:r>
      <w:r w:rsidRPr="005B1D85">
        <w:rPr>
          <w:rFonts w:ascii="Arial" w:hAnsi="Arial" w:cs="Arial"/>
        </w:rPr>
        <w:t xml:space="preserve"> No quadro abaixo demonstra-se a composição atual da conta: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708"/>
        <w:gridCol w:w="1418"/>
        <w:gridCol w:w="1417"/>
        <w:gridCol w:w="1418"/>
        <w:gridCol w:w="1417"/>
      </w:tblGrid>
      <w:tr w:rsidR="005608C6" w:rsidRPr="003234C5" w14:paraId="14275DEF" w14:textId="77777777" w:rsidTr="00ED663C">
        <w:trPr>
          <w:cantSplit/>
          <w:trHeight w:hRule="exact" w:val="284"/>
          <w:jc w:val="center"/>
        </w:trPr>
        <w:tc>
          <w:tcPr>
            <w:tcW w:w="2689" w:type="dxa"/>
            <w:vMerge w:val="restart"/>
            <w:shd w:val="clear" w:color="auto" w:fill="C0C0C0"/>
            <w:vAlign w:val="center"/>
          </w:tcPr>
          <w:p w14:paraId="4FF21C46" w14:textId="77777777" w:rsidR="005608C6" w:rsidRPr="003234C5" w:rsidRDefault="005608C6" w:rsidP="00ED663C">
            <w:pPr>
              <w:autoSpaceDE w:val="0"/>
              <w:autoSpaceDN w:val="0"/>
              <w:adjustRightInd w:val="0"/>
              <w:jc w:val="both"/>
              <w:rPr>
                <w:rFonts w:ascii="Arial" w:hAnsi="Arial" w:cs="Arial"/>
                <w:b/>
                <w:sz w:val="20"/>
                <w:szCs w:val="20"/>
              </w:rPr>
            </w:pPr>
            <w:r w:rsidRPr="003234C5">
              <w:rPr>
                <w:rFonts w:ascii="Arial" w:hAnsi="Arial" w:cs="Arial"/>
                <w:b/>
                <w:sz w:val="20"/>
                <w:szCs w:val="20"/>
              </w:rPr>
              <w:t>DESCRIÇÃO</w:t>
            </w:r>
          </w:p>
        </w:tc>
        <w:tc>
          <w:tcPr>
            <w:tcW w:w="4961" w:type="dxa"/>
            <w:gridSpan w:val="4"/>
            <w:shd w:val="clear" w:color="auto" w:fill="C0C0C0"/>
            <w:vAlign w:val="center"/>
          </w:tcPr>
          <w:p w14:paraId="16338AC4" w14:textId="77777777" w:rsidR="005608C6" w:rsidRPr="003234C5" w:rsidRDefault="005608C6" w:rsidP="00ED663C">
            <w:pPr>
              <w:autoSpaceDE w:val="0"/>
              <w:autoSpaceDN w:val="0"/>
              <w:adjustRightInd w:val="0"/>
              <w:jc w:val="center"/>
              <w:rPr>
                <w:rFonts w:ascii="Arial" w:hAnsi="Arial" w:cs="Arial"/>
                <w:b/>
                <w:sz w:val="20"/>
                <w:szCs w:val="20"/>
              </w:rPr>
            </w:pPr>
            <w:r>
              <w:rPr>
                <w:rFonts w:ascii="Arial" w:hAnsi="Arial" w:cs="Arial"/>
                <w:b/>
                <w:sz w:val="20"/>
                <w:szCs w:val="20"/>
              </w:rPr>
              <w:t>2019</w:t>
            </w:r>
          </w:p>
        </w:tc>
        <w:tc>
          <w:tcPr>
            <w:tcW w:w="1417" w:type="dxa"/>
            <w:vMerge w:val="restart"/>
            <w:shd w:val="clear" w:color="auto" w:fill="C0C0C0"/>
            <w:vAlign w:val="center"/>
          </w:tcPr>
          <w:p w14:paraId="525F32CE" w14:textId="77777777" w:rsidR="005608C6" w:rsidRPr="003234C5" w:rsidRDefault="005608C6" w:rsidP="00ED663C">
            <w:pPr>
              <w:autoSpaceDE w:val="0"/>
              <w:autoSpaceDN w:val="0"/>
              <w:adjustRightInd w:val="0"/>
              <w:spacing w:after="0"/>
              <w:jc w:val="center"/>
              <w:rPr>
                <w:rFonts w:ascii="Arial" w:hAnsi="Arial" w:cs="Arial"/>
                <w:b/>
                <w:sz w:val="20"/>
                <w:szCs w:val="20"/>
              </w:rPr>
            </w:pPr>
          </w:p>
          <w:p w14:paraId="292CEC1E" w14:textId="77777777" w:rsidR="005608C6" w:rsidRPr="003234C5" w:rsidRDefault="005608C6" w:rsidP="00ED663C">
            <w:pPr>
              <w:autoSpaceDE w:val="0"/>
              <w:autoSpaceDN w:val="0"/>
              <w:adjustRightInd w:val="0"/>
              <w:jc w:val="center"/>
              <w:rPr>
                <w:rFonts w:ascii="Arial" w:hAnsi="Arial" w:cs="Arial"/>
                <w:b/>
                <w:sz w:val="20"/>
                <w:szCs w:val="20"/>
              </w:rPr>
            </w:pPr>
            <w:r>
              <w:rPr>
                <w:rFonts w:ascii="Arial" w:hAnsi="Arial" w:cs="Arial"/>
                <w:b/>
                <w:sz w:val="20"/>
                <w:szCs w:val="20"/>
              </w:rPr>
              <w:t>2018</w:t>
            </w:r>
          </w:p>
          <w:p w14:paraId="3B6B083A" w14:textId="77777777" w:rsidR="005608C6" w:rsidRPr="003234C5" w:rsidRDefault="005608C6" w:rsidP="00ED663C">
            <w:pPr>
              <w:autoSpaceDE w:val="0"/>
              <w:autoSpaceDN w:val="0"/>
              <w:adjustRightInd w:val="0"/>
              <w:jc w:val="center"/>
              <w:rPr>
                <w:rFonts w:ascii="Arial" w:hAnsi="Arial" w:cs="Arial"/>
                <w:b/>
                <w:sz w:val="20"/>
                <w:szCs w:val="20"/>
              </w:rPr>
            </w:pPr>
          </w:p>
        </w:tc>
      </w:tr>
      <w:tr w:rsidR="005608C6" w:rsidRPr="003234C5" w14:paraId="59FD5F0D" w14:textId="77777777" w:rsidTr="008C71D1">
        <w:trPr>
          <w:cantSplit/>
          <w:trHeight w:hRule="exact" w:val="583"/>
          <w:jc w:val="center"/>
        </w:trPr>
        <w:tc>
          <w:tcPr>
            <w:tcW w:w="2689" w:type="dxa"/>
            <w:vMerge/>
            <w:shd w:val="clear" w:color="auto" w:fill="C0C0C0"/>
            <w:vAlign w:val="center"/>
          </w:tcPr>
          <w:p w14:paraId="454B4A87" w14:textId="77777777" w:rsidR="005608C6" w:rsidRPr="003234C5" w:rsidRDefault="005608C6" w:rsidP="00ED663C">
            <w:pPr>
              <w:autoSpaceDE w:val="0"/>
              <w:autoSpaceDN w:val="0"/>
              <w:adjustRightInd w:val="0"/>
              <w:jc w:val="both"/>
              <w:rPr>
                <w:rFonts w:ascii="Arial" w:hAnsi="Arial" w:cs="Arial"/>
                <w:sz w:val="20"/>
                <w:szCs w:val="20"/>
              </w:rPr>
            </w:pPr>
          </w:p>
        </w:tc>
        <w:tc>
          <w:tcPr>
            <w:tcW w:w="708" w:type="dxa"/>
            <w:shd w:val="clear" w:color="auto" w:fill="C0C0C0"/>
            <w:vAlign w:val="center"/>
          </w:tcPr>
          <w:p w14:paraId="7476F96D" w14:textId="77777777" w:rsidR="005608C6" w:rsidRPr="003234C5" w:rsidRDefault="005608C6" w:rsidP="00ED663C">
            <w:pPr>
              <w:autoSpaceDE w:val="0"/>
              <w:autoSpaceDN w:val="0"/>
              <w:adjustRightInd w:val="0"/>
              <w:jc w:val="both"/>
              <w:rPr>
                <w:rFonts w:ascii="Arial" w:hAnsi="Arial" w:cs="Arial"/>
                <w:b/>
                <w:sz w:val="20"/>
                <w:szCs w:val="20"/>
              </w:rPr>
            </w:pPr>
            <w:r w:rsidRPr="003234C5">
              <w:rPr>
                <w:rFonts w:ascii="Arial" w:hAnsi="Arial" w:cs="Arial"/>
                <w:b/>
                <w:sz w:val="20"/>
                <w:szCs w:val="20"/>
              </w:rPr>
              <w:t>Taxa</w:t>
            </w:r>
          </w:p>
        </w:tc>
        <w:tc>
          <w:tcPr>
            <w:tcW w:w="1418" w:type="dxa"/>
            <w:shd w:val="clear" w:color="auto" w:fill="C0C0C0"/>
            <w:vAlign w:val="center"/>
          </w:tcPr>
          <w:p w14:paraId="134BC961" w14:textId="77777777" w:rsidR="005608C6" w:rsidRPr="003234C5" w:rsidRDefault="005608C6" w:rsidP="00ED663C">
            <w:pPr>
              <w:autoSpaceDE w:val="0"/>
              <w:autoSpaceDN w:val="0"/>
              <w:adjustRightInd w:val="0"/>
              <w:jc w:val="center"/>
              <w:rPr>
                <w:rFonts w:ascii="Arial" w:hAnsi="Arial" w:cs="Arial"/>
                <w:b/>
                <w:sz w:val="20"/>
                <w:szCs w:val="20"/>
              </w:rPr>
            </w:pPr>
            <w:r w:rsidRPr="003234C5">
              <w:rPr>
                <w:rFonts w:ascii="Arial" w:hAnsi="Arial" w:cs="Arial"/>
                <w:b/>
                <w:sz w:val="20"/>
                <w:szCs w:val="20"/>
              </w:rPr>
              <w:t>Custo</w:t>
            </w:r>
          </w:p>
        </w:tc>
        <w:tc>
          <w:tcPr>
            <w:tcW w:w="1417" w:type="dxa"/>
            <w:shd w:val="clear" w:color="auto" w:fill="C0C0C0"/>
            <w:vAlign w:val="center"/>
          </w:tcPr>
          <w:p w14:paraId="5D794E9A" w14:textId="157DAA9D" w:rsidR="005608C6" w:rsidRPr="003234C5" w:rsidRDefault="005608C6" w:rsidP="00ED663C">
            <w:pPr>
              <w:autoSpaceDE w:val="0"/>
              <w:autoSpaceDN w:val="0"/>
              <w:adjustRightInd w:val="0"/>
              <w:jc w:val="center"/>
              <w:rPr>
                <w:rFonts w:ascii="Arial" w:hAnsi="Arial" w:cs="Arial"/>
                <w:b/>
                <w:sz w:val="20"/>
                <w:szCs w:val="20"/>
              </w:rPr>
            </w:pPr>
            <w:r w:rsidRPr="003234C5">
              <w:rPr>
                <w:rFonts w:ascii="Arial" w:hAnsi="Arial" w:cs="Arial"/>
                <w:b/>
                <w:sz w:val="20"/>
                <w:szCs w:val="20"/>
              </w:rPr>
              <w:t xml:space="preserve">(-) </w:t>
            </w:r>
            <w:r w:rsidR="00403802">
              <w:rPr>
                <w:rFonts w:ascii="Arial" w:hAnsi="Arial" w:cs="Arial"/>
                <w:b/>
                <w:sz w:val="20"/>
                <w:szCs w:val="20"/>
              </w:rPr>
              <w:t>Depreciação</w:t>
            </w:r>
          </w:p>
        </w:tc>
        <w:tc>
          <w:tcPr>
            <w:tcW w:w="1418" w:type="dxa"/>
            <w:shd w:val="clear" w:color="auto" w:fill="C0C0C0"/>
            <w:vAlign w:val="center"/>
          </w:tcPr>
          <w:p w14:paraId="11C944E9" w14:textId="77777777" w:rsidR="005608C6" w:rsidRPr="003234C5" w:rsidRDefault="005608C6" w:rsidP="00ED663C">
            <w:pPr>
              <w:autoSpaceDE w:val="0"/>
              <w:autoSpaceDN w:val="0"/>
              <w:adjustRightInd w:val="0"/>
              <w:jc w:val="center"/>
              <w:rPr>
                <w:rFonts w:ascii="Arial" w:hAnsi="Arial" w:cs="Arial"/>
                <w:b/>
                <w:sz w:val="20"/>
                <w:szCs w:val="20"/>
              </w:rPr>
            </w:pPr>
            <w:r w:rsidRPr="003234C5">
              <w:rPr>
                <w:rFonts w:ascii="Arial" w:hAnsi="Arial" w:cs="Arial"/>
                <w:b/>
                <w:sz w:val="20"/>
                <w:szCs w:val="20"/>
              </w:rPr>
              <w:t>Líquido</w:t>
            </w:r>
          </w:p>
        </w:tc>
        <w:tc>
          <w:tcPr>
            <w:tcW w:w="1417" w:type="dxa"/>
            <w:vMerge/>
            <w:shd w:val="clear" w:color="auto" w:fill="C0C0C0"/>
            <w:vAlign w:val="center"/>
          </w:tcPr>
          <w:p w14:paraId="716565C0" w14:textId="77777777" w:rsidR="005608C6" w:rsidRPr="003234C5" w:rsidRDefault="005608C6" w:rsidP="00ED663C">
            <w:pPr>
              <w:autoSpaceDE w:val="0"/>
              <w:autoSpaceDN w:val="0"/>
              <w:adjustRightInd w:val="0"/>
              <w:jc w:val="both"/>
              <w:rPr>
                <w:rFonts w:ascii="Arial" w:hAnsi="Arial" w:cs="Arial"/>
                <w:sz w:val="20"/>
                <w:szCs w:val="20"/>
              </w:rPr>
            </w:pPr>
          </w:p>
        </w:tc>
      </w:tr>
      <w:tr w:rsidR="005608C6" w:rsidRPr="003234C5" w14:paraId="5E7CEEF5" w14:textId="77777777" w:rsidTr="00ED663C">
        <w:trPr>
          <w:cantSplit/>
          <w:trHeight w:hRule="exact" w:val="284"/>
          <w:jc w:val="center"/>
        </w:trPr>
        <w:tc>
          <w:tcPr>
            <w:tcW w:w="2689" w:type="dxa"/>
            <w:shd w:val="clear" w:color="auto" w:fill="FFFFFF"/>
            <w:vAlign w:val="center"/>
          </w:tcPr>
          <w:p w14:paraId="7B60D6E0" w14:textId="77777777" w:rsidR="005608C6" w:rsidRPr="003234C5" w:rsidRDefault="005608C6" w:rsidP="00ED663C">
            <w:pPr>
              <w:autoSpaceDE w:val="0"/>
              <w:autoSpaceDN w:val="0"/>
              <w:adjustRightInd w:val="0"/>
              <w:jc w:val="both"/>
              <w:rPr>
                <w:rFonts w:ascii="Arial" w:hAnsi="Arial" w:cs="Arial"/>
                <w:sz w:val="20"/>
                <w:szCs w:val="20"/>
              </w:rPr>
            </w:pPr>
            <w:r w:rsidRPr="003234C5">
              <w:rPr>
                <w:rFonts w:ascii="Arial" w:hAnsi="Arial" w:cs="Arial"/>
                <w:sz w:val="20"/>
                <w:szCs w:val="20"/>
              </w:rPr>
              <w:t>Arrendamento IFRS 16</w:t>
            </w:r>
          </w:p>
        </w:tc>
        <w:tc>
          <w:tcPr>
            <w:tcW w:w="708" w:type="dxa"/>
            <w:shd w:val="clear" w:color="auto" w:fill="FFFFFF"/>
            <w:vAlign w:val="center"/>
          </w:tcPr>
          <w:p w14:paraId="4D203A4C" w14:textId="77777777" w:rsidR="005608C6" w:rsidRPr="003234C5" w:rsidRDefault="005608C6" w:rsidP="00ED663C">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6869573D" w14:textId="6E2CED2F" w:rsidR="005608C6" w:rsidRPr="003234C5" w:rsidRDefault="00AB0E29" w:rsidP="00ED663C">
            <w:pPr>
              <w:jc w:val="right"/>
              <w:rPr>
                <w:rFonts w:ascii="Arial" w:hAnsi="Arial" w:cs="Arial"/>
                <w:sz w:val="20"/>
                <w:szCs w:val="20"/>
              </w:rPr>
            </w:pPr>
            <w:r>
              <w:rPr>
                <w:rFonts w:ascii="Arial" w:hAnsi="Arial" w:cs="Arial"/>
                <w:sz w:val="20"/>
                <w:szCs w:val="20"/>
              </w:rPr>
              <w:t>14.000</w:t>
            </w:r>
          </w:p>
        </w:tc>
        <w:tc>
          <w:tcPr>
            <w:tcW w:w="1417" w:type="dxa"/>
            <w:shd w:val="clear" w:color="auto" w:fill="FFFFFF"/>
          </w:tcPr>
          <w:p w14:paraId="2C44B300" w14:textId="3FF38018" w:rsidR="005608C6" w:rsidRPr="003234C5" w:rsidRDefault="008E5040" w:rsidP="00ED663C">
            <w:pPr>
              <w:jc w:val="right"/>
              <w:rPr>
                <w:rFonts w:ascii="Arial" w:hAnsi="Arial" w:cs="Arial"/>
                <w:sz w:val="20"/>
                <w:szCs w:val="20"/>
              </w:rPr>
            </w:pPr>
            <w:r>
              <w:rPr>
                <w:rFonts w:ascii="Arial" w:hAnsi="Arial" w:cs="Arial"/>
                <w:sz w:val="20"/>
                <w:szCs w:val="20"/>
              </w:rPr>
              <w:t>(</w:t>
            </w:r>
            <w:r w:rsidR="00BB4390">
              <w:rPr>
                <w:rFonts w:ascii="Arial" w:hAnsi="Arial" w:cs="Arial"/>
                <w:sz w:val="20"/>
                <w:szCs w:val="20"/>
              </w:rPr>
              <w:t>2.854</w:t>
            </w:r>
            <w:r>
              <w:rPr>
                <w:rFonts w:ascii="Arial" w:hAnsi="Arial" w:cs="Arial"/>
                <w:sz w:val="20"/>
                <w:szCs w:val="20"/>
              </w:rPr>
              <w:t>)</w:t>
            </w:r>
          </w:p>
        </w:tc>
        <w:tc>
          <w:tcPr>
            <w:tcW w:w="1418" w:type="dxa"/>
            <w:shd w:val="clear" w:color="auto" w:fill="FFFFFF"/>
          </w:tcPr>
          <w:p w14:paraId="6293D9CB" w14:textId="14C44D48" w:rsidR="005608C6" w:rsidRPr="003234C5" w:rsidRDefault="00B83D54" w:rsidP="00ED663C">
            <w:pPr>
              <w:jc w:val="right"/>
              <w:rPr>
                <w:rFonts w:ascii="Arial" w:hAnsi="Arial" w:cs="Arial"/>
                <w:sz w:val="20"/>
                <w:szCs w:val="20"/>
              </w:rPr>
            </w:pPr>
            <w:r>
              <w:rPr>
                <w:rFonts w:ascii="Arial" w:hAnsi="Arial" w:cs="Arial"/>
                <w:sz w:val="20"/>
                <w:szCs w:val="20"/>
              </w:rPr>
              <w:t>11</w:t>
            </w:r>
            <w:r w:rsidR="00754310">
              <w:rPr>
                <w:rFonts w:ascii="Arial" w:hAnsi="Arial" w:cs="Arial"/>
                <w:sz w:val="20"/>
                <w:szCs w:val="20"/>
              </w:rPr>
              <w:t>.146</w:t>
            </w:r>
          </w:p>
        </w:tc>
        <w:tc>
          <w:tcPr>
            <w:tcW w:w="1417" w:type="dxa"/>
            <w:shd w:val="clear" w:color="auto" w:fill="FFFFFF"/>
          </w:tcPr>
          <w:p w14:paraId="5D1735EF" w14:textId="77777777" w:rsidR="005608C6" w:rsidRPr="003234C5" w:rsidRDefault="005608C6" w:rsidP="00ED663C">
            <w:pPr>
              <w:jc w:val="right"/>
              <w:rPr>
                <w:rFonts w:ascii="Arial" w:hAnsi="Arial" w:cs="Arial"/>
                <w:sz w:val="20"/>
                <w:szCs w:val="20"/>
              </w:rPr>
            </w:pPr>
            <w:r w:rsidRPr="003234C5">
              <w:rPr>
                <w:rFonts w:ascii="Arial" w:hAnsi="Arial" w:cs="Arial"/>
                <w:sz w:val="20"/>
                <w:szCs w:val="20"/>
              </w:rPr>
              <w:t xml:space="preserve"> -   </w:t>
            </w:r>
          </w:p>
        </w:tc>
      </w:tr>
      <w:tr w:rsidR="005608C6" w:rsidRPr="003234C5" w14:paraId="62C75247" w14:textId="77777777" w:rsidTr="00ED663C">
        <w:trPr>
          <w:cantSplit/>
          <w:trHeight w:hRule="exact" w:val="239"/>
          <w:jc w:val="center"/>
        </w:trPr>
        <w:tc>
          <w:tcPr>
            <w:tcW w:w="3397" w:type="dxa"/>
            <w:gridSpan w:val="2"/>
            <w:shd w:val="clear" w:color="auto" w:fill="C0C0C0"/>
            <w:vAlign w:val="center"/>
          </w:tcPr>
          <w:p w14:paraId="3DEA2C6D" w14:textId="77777777" w:rsidR="005608C6" w:rsidRPr="003234C5" w:rsidRDefault="005608C6" w:rsidP="00ED663C">
            <w:pPr>
              <w:autoSpaceDE w:val="0"/>
              <w:autoSpaceDN w:val="0"/>
              <w:adjustRightInd w:val="0"/>
              <w:jc w:val="both"/>
              <w:rPr>
                <w:rFonts w:ascii="Arial" w:hAnsi="Arial" w:cs="Arial"/>
                <w:b/>
                <w:sz w:val="20"/>
                <w:szCs w:val="20"/>
              </w:rPr>
            </w:pPr>
            <w:r w:rsidRPr="003234C5">
              <w:rPr>
                <w:rFonts w:ascii="Arial" w:hAnsi="Arial" w:cs="Arial"/>
                <w:b/>
                <w:sz w:val="20"/>
                <w:szCs w:val="20"/>
              </w:rPr>
              <w:t>TOTAIS</w:t>
            </w:r>
          </w:p>
        </w:tc>
        <w:tc>
          <w:tcPr>
            <w:tcW w:w="1418" w:type="dxa"/>
            <w:shd w:val="clear" w:color="auto" w:fill="C0C0C0"/>
          </w:tcPr>
          <w:p w14:paraId="5BB71BA0" w14:textId="753FF6F9" w:rsidR="005608C6" w:rsidRPr="003234C5" w:rsidRDefault="00AB0E29" w:rsidP="00ED663C">
            <w:pPr>
              <w:pageBreakBefore/>
              <w:autoSpaceDE w:val="0"/>
              <w:autoSpaceDN w:val="0"/>
              <w:adjustRightInd w:val="0"/>
              <w:jc w:val="right"/>
              <w:rPr>
                <w:rFonts w:ascii="Arial" w:hAnsi="Arial" w:cs="Arial"/>
                <w:b/>
                <w:bCs/>
                <w:sz w:val="20"/>
                <w:szCs w:val="20"/>
              </w:rPr>
            </w:pPr>
            <w:r>
              <w:rPr>
                <w:rFonts w:ascii="Arial" w:hAnsi="Arial" w:cs="Arial"/>
                <w:b/>
                <w:bCs/>
                <w:sz w:val="20"/>
                <w:szCs w:val="20"/>
              </w:rPr>
              <w:t>14.000</w:t>
            </w:r>
          </w:p>
        </w:tc>
        <w:tc>
          <w:tcPr>
            <w:tcW w:w="1417" w:type="dxa"/>
            <w:shd w:val="clear" w:color="auto" w:fill="C0C0C0"/>
          </w:tcPr>
          <w:p w14:paraId="1AABB4A6" w14:textId="436C69FA" w:rsidR="005608C6" w:rsidRPr="003234C5" w:rsidRDefault="005608C6" w:rsidP="00ED663C">
            <w:pPr>
              <w:jc w:val="right"/>
              <w:rPr>
                <w:rFonts w:ascii="Arial" w:hAnsi="Arial" w:cs="Arial"/>
                <w:b/>
                <w:bCs/>
                <w:sz w:val="20"/>
                <w:szCs w:val="20"/>
              </w:rPr>
            </w:pPr>
            <w:r>
              <w:rPr>
                <w:rFonts w:ascii="Arial" w:hAnsi="Arial" w:cs="Arial"/>
                <w:b/>
                <w:bCs/>
                <w:sz w:val="20"/>
                <w:szCs w:val="20"/>
              </w:rPr>
              <w:t>(</w:t>
            </w:r>
            <w:r w:rsidR="008E5040">
              <w:rPr>
                <w:rFonts w:ascii="Arial" w:hAnsi="Arial" w:cs="Arial"/>
                <w:b/>
                <w:bCs/>
                <w:sz w:val="20"/>
                <w:szCs w:val="20"/>
              </w:rPr>
              <w:t>2.854</w:t>
            </w:r>
            <w:r>
              <w:rPr>
                <w:rFonts w:ascii="Arial" w:hAnsi="Arial" w:cs="Arial"/>
                <w:b/>
                <w:bCs/>
                <w:sz w:val="20"/>
                <w:szCs w:val="20"/>
              </w:rPr>
              <w:t>)</w:t>
            </w:r>
          </w:p>
        </w:tc>
        <w:tc>
          <w:tcPr>
            <w:tcW w:w="1418" w:type="dxa"/>
            <w:shd w:val="clear" w:color="auto" w:fill="C0C0C0"/>
          </w:tcPr>
          <w:p w14:paraId="483E10E2" w14:textId="65D6E371" w:rsidR="005608C6" w:rsidRPr="003234C5" w:rsidRDefault="00754310" w:rsidP="00ED663C">
            <w:pPr>
              <w:jc w:val="right"/>
              <w:rPr>
                <w:rFonts w:ascii="Arial" w:hAnsi="Arial" w:cs="Arial"/>
                <w:b/>
                <w:bCs/>
                <w:sz w:val="20"/>
                <w:szCs w:val="20"/>
              </w:rPr>
            </w:pPr>
            <w:r>
              <w:rPr>
                <w:rFonts w:ascii="Arial" w:hAnsi="Arial" w:cs="Arial"/>
                <w:b/>
                <w:bCs/>
                <w:sz w:val="20"/>
                <w:szCs w:val="20"/>
              </w:rPr>
              <w:t>11.146</w:t>
            </w:r>
          </w:p>
        </w:tc>
        <w:tc>
          <w:tcPr>
            <w:tcW w:w="1417" w:type="dxa"/>
            <w:shd w:val="clear" w:color="auto" w:fill="C0C0C0"/>
          </w:tcPr>
          <w:p w14:paraId="101A7A02" w14:textId="1189BCA4" w:rsidR="005608C6" w:rsidRPr="003234C5" w:rsidRDefault="00754310" w:rsidP="00ED663C">
            <w:pPr>
              <w:jc w:val="right"/>
              <w:rPr>
                <w:rFonts w:ascii="Arial" w:hAnsi="Arial" w:cs="Arial"/>
                <w:b/>
                <w:sz w:val="20"/>
                <w:szCs w:val="20"/>
              </w:rPr>
            </w:pPr>
            <w:r>
              <w:rPr>
                <w:rFonts w:ascii="Arial" w:hAnsi="Arial" w:cs="Arial"/>
                <w:b/>
                <w:sz w:val="20"/>
                <w:szCs w:val="20"/>
              </w:rPr>
              <w:t>-</w:t>
            </w:r>
          </w:p>
        </w:tc>
      </w:tr>
    </w:tbl>
    <w:p w14:paraId="64635846" w14:textId="77777777" w:rsidR="005941E4" w:rsidRPr="003234C5" w:rsidRDefault="005941E4" w:rsidP="005941E4">
      <w:pPr>
        <w:autoSpaceDE w:val="0"/>
        <w:autoSpaceDN w:val="0"/>
        <w:adjustRightInd w:val="0"/>
        <w:spacing w:before="240"/>
        <w:jc w:val="both"/>
        <w:rPr>
          <w:rFonts w:ascii="Arial" w:hAnsi="Arial" w:cs="Arial"/>
        </w:rPr>
      </w:pPr>
      <w:r w:rsidRPr="003234C5">
        <w:rPr>
          <w:rFonts w:ascii="Arial" w:hAnsi="Arial" w:cs="Arial"/>
        </w:rPr>
        <w:t>No quadro abaixo apresenta-se a movimentação das contas ocorrida no exercício:</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8"/>
        <w:gridCol w:w="1384"/>
        <w:gridCol w:w="1114"/>
        <w:gridCol w:w="1242"/>
        <w:gridCol w:w="1385"/>
        <w:gridCol w:w="1384"/>
      </w:tblGrid>
      <w:tr w:rsidR="005941E4" w:rsidRPr="003234C5" w14:paraId="67BF7A37" w14:textId="77777777" w:rsidTr="008C71D1">
        <w:trPr>
          <w:cantSplit/>
          <w:trHeight w:hRule="exact" w:val="581"/>
          <w:jc w:val="center"/>
        </w:trPr>
        <w:tc>
          <w:tcPr>
            <w:tcW w:w="2568" w:type="dxa"/>
            <w:shd w:val="clear" w:color="auto" w:fill="C0C0C0"/>
            <w:vAlign w:val="center"/>
          </w:tcPr>
          <w:p w14:paraId="523E599C" w14:textId="77777777" w:rsidR="005941E4" w:rsidRPr="003234C5" w:rsidRDefault="005941E4" w:rsidP="00ED663C">
            <w:pPr>
              <w:autoSpaceDE w:val="0"/>
              <w:autoSpaceDN w:val="0"/>
              <w:adjustRightInd w:val="0"/>
              <w:spacing w:after="0" w:line="240" w:lineRule="auto"/>
              <w:jc w:val="both"/>
              <w:rPr>
                <w:rFonts w:ascii="Arial" w:hAnsi="Arial" w:cs="Arial"/>
                <w:sz w:val="20"/>
                <w:szCs w:val="20"/>
              </w:rPr>
            </w:pPr>
            <w:r w:rsidRPr="003234C5">
              <w:rPr>
                <w:rFonts w:ascii="Arial" w:hAnsi="Arial" w:cs="Arial"/>
                <w:b/>
                <w:sz w:val="20"/>
                <w:szCs w:val="20"/>
              </w:rPr>
              <w:t>DESCRIÇÃO</w:t>
            </w:r>
          </w:p>
        </w:tc>
        <w:tc>
          <w:tcPr>
            <w:tcW w:w="1384" w:type="dxa"/>
            <w:shd w:val="clear" w:color="auto" w:fill="C0C0C0"/>
            <w:vAlign w:val="center"/>
          </w:tcPr>
          <w:p w14:paraId="3D0089E4" w14:textId="77777777" w:rsidR="005941E4" w:rsidRPr="003234C5" w:rsidRDefault="005941E4" w:rsidP="00ED663C">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 xml:space="preserve">Saldo em </w:t>
            </w:r>
            <w:r>
              <w:rPr>
                <w:rFonts w:ascii="Arial" w:hAnsi="Arial" w:cs="Arial"/>
                <w:b/>
                <w:sz w:val="20"/>
                <w:szCs w:val="20"/>
              </w:rPr>
              <w:t>2018</w:t>
            </w:r>
          </w:p>
        </w:tc>
        <w:tc>
          <w:tcPr>
            <w:tcW w:w="1114" w:type="dxa"/>
            <w:shd w:val="clear" w:color="auto" w:fill="C0C0C0"/>
            <w:vAlign w:val="center"/>
          </w:tcPr>
          <w:p w14:paraId="58B6CFF6" w14:textId="08FFDAD9" w:rsidR="005941E4" w:rsidRPr="003234C5" w:rsidRDefault="00826552" w:rsidP="00ED663C">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Adoção Inicial</w:t>
            </w:r>
          </w:p>
        </w:tc>
        <w:tc>
          <w:tcPr>
            <w:tcW w:w="1242" w:type="dxa"/>
            <w:shd w:val="clear" w:color="auto" w:fill="C0C0C0"/>
            <w:vAlign w:val="center"/>
          </w:tcPr>
          <w:p w14:paraId="7854EBED" w14:textId="77777777" w:rsidR="005941E4" w:rsidRPr="003234C5" w:rsidRDefault="005941E4" w:rsidP="00ED663C">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Baixas/</w:t>
            </w:r>
          </w:p>
          <w:p w14:paraId="6CEBE1F3" w14:textId="77777777" w:rsidR="005941E4" w:rsidRPr="003234C5" w:rsidRDefault="005941E4" w:rsidP="00ED663C">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Rever.</w:t>
            </w:r>
          </w:p>
        </w:tc>
        <w:tc>
          <w:tcPr>
            <w:tcW w:w="1385" w:type="dxa"/>
            <w:shd w:val="clear" w:color="auto" w:fill="C0C0C0"/>
            <w:vAlign w:val="center"/>
          </w:tcPr>
          <w:p w14:paraId="3048150C" w14:textId="77777777" w:rsidR="005941E4" w:rsidRPr="003234C5" w:rsidRDefault="005941E4" w:rsidP="00ED663C">
            <w:pPr>
              <w:autoSpaceDE w:val="0"/>
              <w:autoSpaceDN w:val="0"/>
              <w:adjustRightInd w:val="0"/>
              <w:spacing w:after="0" w:line="240" w:lineRule="auto"/>
              <w:jc w:val="center"/>
              <w:rPr>
                <w:rFonts w:ascii="Arial" w:hAnsi="Arial" w:cs="Arial"/>
                <w:b/>
                <w:sz w:val="20"/>
                <w:szCs w:val="20"/>
              </w:rPr>
            </w:pPr>
            <w:proofErr w:type="spellStart"/>
            <w:r w:rsidRPr="003234C5">
              <w:rPr>
                <w:rFonts w:ascii="Arial" w:hAnsi="Arial" w:cs="Arial"/>
                <w:b/>
                <w:sz w:val="20"/>
                <w:szCs w:val="20"/>
              </w:rPr>
              <w:t>Transf</w:t>
            </w:r>
            <w:proofErr w:type="spellEnd"/>
            <w:r w:rsidRPr="003234C5">
              <w:rPr>
                <w:rFonts w:ascii="Arial" w:hAnsi="Arial" w:cs="Arial"/>
                <w:b/>
                <w:sz w:val="20"/>
                <w:szCs w:val="20"/>
              </w:rPr>
              <w:t>.</w:t>
            </w:r>
          </w:p>
        </w:tc>
        <w:tc>
          <w:tcPr>
            <w:tcW w:w="1384" w:type="dxa"/>
            <w:shd w:val="clear" w:color="auto" w:fill="C0C0C0"/>
            <w:vAlign w:val="center"/>
          </w:tcPr>
          <w:p w14:paraId="585C4B3E" w14:textId="77777777" w:rsidR="005941E4" w:rsidRPr="003234C5" w:rsidRDefault="005941E4" w:rsidP="00ED663C">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 xml:space="preserve">Saldo em </w:t>
            </w:r>
            <w:r>
              <w:rPr>
                <w:rFonts w:ascii="Arial" w:hAnsi="Arial" w:cs="Arial"/>
                <w:b/>
                <w:sz w:val="20"/>
                <w:szCs w:val="20"/>
              </w:rPr>
              <w:t>2019</w:t>
            </w:r>
          </w:p>
        </w:tc>
      </w:tr>
      <w:tr w:rsidR="005941E4" w:rsidRPr="003234C5" w14:paraId="27720BAC" w14:textId="77777777" w:rsidTr="00ED663C">
        <w:trPr>
          <w:cantSplit/>
          <w:trHeight w:hRule="exact" w:val="276"/>
          <w:jc w:val="center"/>
        </w:trPr>
        <w:tc>
          <w:tcPr>
            <w:tcW w:w="2568" w:type="dxa"/>
            <w:shd w:val="clear" w:color="auto" w:fill="FFFFFF"/>
            <w:vAlign w:val="center"/>
          </w:tcPr>
          <w:p w14:paraId="5CA0F63D" w14:textId="77777777" w:rsidR="005941E4" w:rsidRPr="003234C5" w:rsidRDefault="005941E4" w:rsidP="00ED663C">
            <w:pPr>
              <w:autoSpaceDE w:val="0"/>
              <w:autoSpaceDN w:val="0"/>
              <w:adjustRightInd w:val="0"/>
              <w:rPr>
                <w:rFonts w:ascii="Arial" w:hAnsi="Arial" w:cs="Arial"/>
                <w:sz w:val="20"/>
                <w:szCs w:val="20"/>
              </w:rPr>
            </w:pPr>
            <w:r w:rsidRPr="003234C5">
              <w:rPr>
                <w:rFonts w:ascii="Arial" w:hAnsi="Arial" w:cs="Arial"/>
                <w:sz w:val="20"/>
                <w:szCs w:val="20"/>
              </w:rPr>
              <w:t>Arrendamento – IFRS 16</w:t>
            </w:r>
          </w:p>
        </w:tc>
        <w:tc>
          <w:tcPr>
            <w:tcW w:w="1384" w:type="dxa"/>
            <w:shd w:val="clear" w:color="auto" w:fill="FFFFFF"/>
          </w:tcPr>
          <w:p w14:paraId="26137780" w14:textId="77777777" w:rsidR="005941E4" w:rsidRPr="003234C5" w:rsidRDefault="005941E4" w:rsidP="00ED663C">
            <w:pPr>
              <w:autoSpaceDE w:val="0"/>
              <w:autoSpaceDN w:val="0"/>
              <w:adjustRightInd w:val="0"/>
              <w:jc w:val="right"/>
              <w:rPr>
                <w:rFonts w:ascii="Arial" w:hAnsi="Arial" w:cs="Arial"/>
                <w:sz w:val="20"/>
                <w:szCs w:val="20"/>
              </w:rPr>
            </w:pPr>
            <w:r w:rsidRPr="003234C5">
              <w:rPr>
                <w:rFonts w:ascii="Arial" w:hAnsi="Arial" w:cs="Arial"/>
                <w:sz w:val="20"/>
                <w:szCs w:val="20"/>
              </w:rPr>
              <w:t xml:space="preserve"> -   </w:t>
            </w:r>
          </w:p>
        </w:tc>
        <w:tc>
          <w:tcPr>
            <w:tcW w:w="1114" w:type="dxa"/>
            <w:shd w:val="clear" w:color="auto" w:fill="FFFFFF"/>
          </w:tcPr>
          <w:p w14:paraId="53DC2E35" w14:textId="36824F7E" w:rsidR="005941E4" w:rsidRPr="003234C5" w:rsidRDefault="005941E4" w:rsidP="00ED663C">
            <w:pPr>
              <w:jc w:val="right"/>
              <w:rPr>
                <w:rFonts w:ascii="Arial" w:hAnsi="Arial" w:cs="Arial"/>
                <w:sz w:val="20"/>
                <w:szCs w:val="20"/>
              </w:rPr>
            </w:pPr>
            <w:r>
              <w:rPr>
                <w:rFonts w:ascii="Arial" w:hAnsi="Arial" w:cs="Arial"/>
                <w:sz w:val="20"/>
                <w:szCs w:val="20"/>
              </w:rPr>
              <w:t>14.000</w:t>
            </w:r>
          </w:p>
        </w:tc>
        <w:tc>
          <w:tcPr>
            <w:tcW w:w="1242" w:type="dxa"/>
            <w:shd w:val="clear" w:color="auto" w:fill="FFFFFF"/>
          </w:tcPr>
          <w:p w14:paraId="40E596BF" w14:textId="77777777" w:rsidR="005941E4" w:rsidRPr="003234C5" w:rsidRDefault="005941E4" w:rsidP="00ED663C">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42D50204" w14:textId="49F6883A" w:rsidR="005941E4" w:rsidRPr="003234C5" w:rsidRDefault="005D725F" w:rsidP="005D725F">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00BB2B20" w14:textId="62923082" w:rsidR="005941E4" w:rsidRPr="003234C5" w:rsidRDefault="005D725F" w:rsidP="00ED663C">
            <w:pPr>
              <w:jc w:val="right"/>
              <w:rPr>
                <w:rFonts w:ascii="Arial" w:hAnsi="Arial" w:cs="Arial"/>
                <w:sz w:val="20"/>
                <w:szCs w:val="20"/>
              </w:rPr>
            </w:pPr>
            <w:r>
              <w:rPr>
                <w:rFonts w:ascii="Arial" w:hAnsi="Arial" w:cs="Arial"/>
                <w:sz w:val="20"/>
                <w:szCs w:val="20"/>
              </w:rPr>
              <w:t>14.000</w:t>
            </w:r>
          </w:p>
        </w:tc>
      </w:tr>
      <w:tr w:rsidR="005941E4" w:rsidRPr="003234C5" w14:paraId="1F9753C4" w14:textId="77777777" w:rsidTr="00ED663C">
        <w:trPr>
          <w:cantSplit/>
          <w:trHeight w:hRule="exact" w:val="276"/>
          <w:jc w:val="center"/>
        </w:trPr>
        <w:tc>
          <w:tcPr>
            <w:tcW w:w="2568" w:type="dxa"/>
            <w:shd w:val="clear" w:color="auto" w:fill="BFBFBF"/>
            <w:vAlign w:val="center"/>
          </w:tcPr>
          <w:p w14:paraId="2B1F29AD" w14:textId="77777777" w:rsidR="005941E4" w:rsidRPr="003234C5" w:rsidRDefault="005941E4" w:rsidP="00ED663C">
            <w:pPr>
              <w:autoSpaceDE w:val="0"/>
              <w:autoSpaceDN w:val="0"/>
              <w:adjustRightInd w:val="0"/>
              <w:jc w:val="both"/>
              <w:rPr>
                <w:rFonts w:ascii="Arial" w:hAnsi="Arial" w:cs="Arial"/>
                <w:b/>
                <w:sz w:val="20"/>
                <w:szCs w:val="20"/>
              </w:rPr>
            </w:pPr>
            <w:r w:rsidRPr="003234C5">
              <w:rPr>
                <w:rFonts w:ascii="Arial" w:hAnsi="Arial" w:cs="Arial"/>
                <w:b/>
                <w:sz w:val="20"/>
                <w:szCs w:val="20"/>
              </w:rPr>
              <w:t>TOTAIS</w:t>
            </w:r>
          </w:p>
        </w:tc>
        <w:tc>
          <w:tcPr>
            <w:tcW w:w="1384" w:type="dxa"/>
            <w:shd w:val="clear" w:color="auto" w:fill="BFBFBF"/>
          </w:tcPr>
          <w:p w14:paraId="658E8A31" w14:textId="5C0D2EAB" w:rsidR="005941E4" w:rsidRPr="003234C5" w:rsidRDefault="005941E4" w:rsidP="00ED663C">
            <w:pPr>
              <w:autoSpaceDE w:val="0"/>
              <w:autoSpaceDN w:val="0"/>
              <w:adjustRightInd w:val="0"/>
              <w:jc w:val="right"/>
              <w:rPr>
                <w:rFonts w:ascii="Arial" w:hAnsi="Arial" w:cs="Arial"/>
                <w:b/>
                <w:sz w:val="20"/>
                <w:szCs w:val="20"/>
              </w:rPr>
            </w:pPr>
            <w:r>
              <w:rPr>
                <w:rFonts w:ascii="Arial" w:hAnsi="Arial" w:cs="Arial"/>
                <w:b/>
                <w:sz w:val="20"/>
                <w:szCs w:val="20"/>
              </w:rPr>
              <w:t>-</w:t>
            </w:r>
          </w:p>
        </w:tc>
        <w:tc>
          <w:tcPr>
            <w:tcW w:w="1114" w:type="dxa"/>
            <w:shd w:val="clear" w:color="auto" w:fill="BFBFBF"/>
          </w:tcPr>
          <w:p w14:paraId="28586A6B" w14:textId="64DD0EB2" w:rsidR="005941E4" w:rsidRPr="003234C5" w:rsidRDefault="00B17B96" w:rsidP="00ED663C">
            <w:pPr>
              <w:autoSpaceDE w:val="0"/>
              <w:autoSpaceDN w:val="0"/>
              <w:adjustRightInd w:val="0"/>
              <w:jc w:val="right"/>
              <w:rPr>
                <w:rFonts w:ascii="Arial" w:hAnsi="Arial" w:cs="Arial"/>
                <w:b/>
                <w:bCs/>
                <w:sz w:val="20"/>
                <w:szCs w:val="20"/>
              </w:rPr>
            </w:pPr>
            <w:r>
              <w:rPr>
                <w:rFonts w:ascii="Arial" w:hAnsi="Arial" w:cs="Arial"/>
                <w:b/>
                <w:bCs/>
                <w:sz w:val="20"/>
                <w:szCs w:val="20"/>
              </w:rPr>
              <w:t>14.000</w:t>
            </w:r>
          </w:p>
        </w:tc>
        <w:tc>
          <w:tcPr>
            <w:tcW w:w="1242" w:type="dxa"/>
            <w:shd w:val="clear" w:color="auto" w:fill="BFBFBF"/>
          </w:tcPr>
          <w:p w14:paraId="62F764EF" w14:textId="46B73190" w:rsidR="005941E4" w:rsidRPr="003234C5" w:rsidRDefault="005D725F" w:rsidP="00ED663C">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1385" w:type="dxa"/>
            <w:shd w:val="clear" w:color="auto" w:fill="BFBFBF"/>
          </w:tcPr>
          <w:p w14:paraId="47E80B67" w14:textId="68862658" w:rsidR="005941E4" w:rsidRPr="003234C5" w:rsidRDefault="005D725F" w:rsidP="00ED663C">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1384" w:type="dxa"/>
            <w:shd w:val="clear" w:color="auto" w:fill="BFBFBF"/>
          </w:tcPr>
          <w:p w14:paraId="2C0A3B72" w14:textId="4837E8FA" w:rsidR="005941E4" w:rsidRPr="003234C5" w:rsidRDefault="005D725F" w:rsidP="00ED663C">
            <w:pPr>
              <w:autoSpaceDE w:val="0"/>
              <w:autoSpaceDN w:val="0"/>
              <w:adjustRightInd w:val="0"/>
              <w:jc w:val="right"/>
              <w:rPr>
                <w:rFonts w:ascii="Arial" w:hAnsi="Arial" w:cs="Arial"/>
                <w:b/>
                <w:bCs/>
                <w:sz w:val="20"/>
                <w:szCs w:val="20"/>
              </w:rPr>
            </w:pPr>
            <w:r>
              <w:rPr>
                <w:rFonts w:ascii="Arial" w:hAnsi="Arial" w:cs="Arial"/>
                <w:b/>
                <w:bCs/>
                <w:sz w:val="20"/>
                <w:szCs w:val="20"/>
              </w:rPr>
              <w:t>14.000</w:t>
            </w:r>
          </w:p>
        </w:tc>
      </w:tr>
    </w:tbl>
    <w:p w14:paraId="0B754765" w14:textId="77777777" w:rsidR="005941E4" w:rsidRPr="003234C5" w:rsidRDefault="005941E4" w:rsidP="005941E4">
      <w:pPr>
        <w:widowControl w:val="0"/>
        <w:spacing w:after="120"/>
        <w:jc w:val="both"/>
        <w:rPr>
          <w:rFonts w:ascii="Arial" w:hAnsi="Arial" w:cs="Arial"/>
          <w:sz w:val="24"/>
          <w:szCs w:val="24"/>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417"/>
        <w:gridCol w:w="1134"/>
        <w:gridCol w:w="1279"/>
        <w:gridCol w:w="1348"/>
        <w:gridCol w:w="1352"/>
      </w:tblGrid>
      <w:tr w:rsidR="005941E4" w:rsidRPr="003234C5" w14:paraId="7DB3F9A2" w14:textId="77777777" w:rsidTr="00D81B99">
        <w:trPr>
          <w:cantSplit/>
          <w:trHeight w:hRule="exact" w:val="555"/>
          <w:jc w:val="center"/>
        </w:trPr>
        <w:tc>
          <w:tcPr>
            <w:tcW w:w="2547" w:type="dxa"/>
            <w:shd w:val="clear" w:color="auto" w:fill="C0C0C0"/>
            <w:vAlign w:val="center"/>
          </w:tcPr>
          <w:p w14:paraId="239BFE7C" w14:textId="6B9800BD" w:rsidR="005941E4" w:rsidRPr="003234C5" w:rsidRDefault="00403802" w:rsidP="00ED663C">
            <w:pPr>
              <w:autoSpaceDE w:val="0"/>
              <w:autoSpaceDN w:val="0"/>
              <w:adjustRightInd w:val="0"/>
              <w:jc w:val="both"/>
              <w:rPr>
                <w:rFonts w:ascii="Arial" w:hAnsi="Arial" w:cs="Arial"/>
                <w:b/>
                <w:sz w:val="20"/>
                <w:szCs w:val="20"/>
              </w:rPr>
            </w:pPr>
            <w:r>
              <w:rPr>
                <w:rFonts w:ascii="Arial" w:hAnsi="Arial" w:cs="Arial"/>
                <w:b/>
                <w:sz w:val="20"/>
                <w:szCs w:val="20"/>
              </w:rPr>
              <w:lastRenderedPageBreak/>
              <w:t>DEPRECIAÇÃO</w:t>
            </w:r>
          </w:p>
        </w:tc>
        <w:tc>
          <w:tcPr>
            <w:tcW w:w="1417" w:type="dxa"/>
            <w:shd w:val="clear" w:color="auto" w:fill="C0C0C0"/>
            <w:vAlign w:val="center"/>
          </w:tcPr>
          <w:p w14:paraId="327EA11B" w14:textId="77777777" w:rsidR="005941E4" w:rsidRPr="003234C5" w:rsidRDefault="005941E4" w:rsidP="00ED663C">
            <w:pPr>
              <w:autoSpaceDE w:val="0"/>
              <w:autoSpaceDN w:val="0"/>
              <w:adjustRightInd w:val="0"/>
              <w:jc w:val="center"/>
              <w:rPr>
                <w:rFonts w:ascii="Arial" w:hAnsi="Arial" w:cs="Arial"/>
                <w:b/>
                <w:sz w:val="20"/>
                <w:szCs w:val="20"/>
              </w:rPr>
            </w:pPr>
            <w:r w:rsidRPr="003234C5">
              <w:rPr>
                <w:rFonts w:ascii="Arial" w:hAnsi="Arial" w:cs="Arial"/>
                <w:b/>
                <w:sz w:val="20"/>
                <w:szCs w:val="20"/>
              </w:rPr>
              <w:t xml:space="preserve">Saldo em </w:t>
            </w:r>
            <w:r>
              <w:rPr>
                <w:rFonts w:ascii="Arial" w:hAnsi="Arial" w:cs="Arial"/>
                <w:b/>
                <w:sz w:val="20"/>
                <w:szCs w:val="20"/>
              </w:rPr>
              <w:t>2018</w:t>
            </w:r>
          </w:p>
        </w:tc>
        <w:tc>
          <w:tcPr>
            <w:tcW w:w="1134" w:type="dxa"/>
            <w:shd w:val="clear" w:color="auto" w:fill="C0C0C0"/>
            <w:vAlign w:val="center"/>
          </w:tcPr>
          <w:p w14:paraId="3EF75C47" w14:textId="77777777" w:rsidR="005941E4" w:rsidRPr="003234C5" w:rsidRDefault="005941E4" w:rsidP="00ED663C">
            <w:pPr>
              <w:autoSpaceDE w:val="0"/>
              <w:autoSpaceDN w:val="0"/>
              <w:adjustRightInd w:val="0"/>
              <w:jc w:val="center"/>
              <w:rPr>
                <w:rFonts w:ascii="Arial" w:hAnsi="Arial" w:cs="Arial"/>
                <w:b/>
                <w:sz w:val="20"/>
                <w:szCs w:val="20"/>
              </w:rPr>
            </w:pPr>
            <w:r w:rsidRPr="003234C5">
              <w:rPr>
                <w:rFonts w:ascii="Arial" w:hAnsi="Arial" w:cs="Arial"/>
                <w:b/>
                <w:sz w:val="20"/>
                <w:szCs w:val="20"/>
              </w:rPr>
              <w:t>Adições</w:t>
            </w:r>
          </w:p>
        </w:tc>
        <w:tc>
          <w:tcPr>
            <w:tcW w:w="1279" w:type="dxa"/>
            <w:shd w:val="clear" w:color="auto" w:fill="C0C0C0"/>
            <w:vAlign w:val="center"/>
          </w:tcPr>
          <w:p w14:paraId="329BF6F8" w14:textId="77777777" w:rsidR="005941E4" w:rsidRPr="003234C5" w:rsidRDefault="005941E4" w:rsidP="00ED663C">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Baixas/</w:t>
            </w:r>
          </w:p>
          <w:p w14:paraId="245E6681" w14:textId="77777777" w:rsidR="005941E4" w:rsidRPr="003234C5" w:rsidRDefault="005941E4" w:rsidP="00ED663C">
            <w:pPr>
              <w:autoSpaceDE w:val="0"/>
              <w:autoSpaceDN w:val="0"/>
              <w:adjustRightInd w:val="0"/>
              <w:jc w:val="center"/>
              <w:rPr>
                <w:rFonts w:ascii="Arial" w:hAnsi="Arial" w:cs="Arial"/>
                <w:b/>
                <w:sz w:val="20"/>
                <w:szCs w:val="20"/>
              </w:rPr>
            </w:pPr>
            <w:r w:rsidRPr="003234C5">
              <w:rPr>
                <w:rFonts w:ascii="Arial" w:hAnsi="Arial" w:cs="Arial"/>
                <w:b/>
                <w:sz w:val="20"/>
                <w:szCs w:val="20"/>
              </w:rPr>
              <w:t>Rever.</w:t>
            </w:r>
          </w:p>
        </w:tc>
        <w:tc>
          <w:tcPr>
            <w:tcW w:w="1348" w:type="dxa"/>
            <w:shd w:val="clear" w:color="auto" w:fill="C0C0C0"/>
            <w:vAlign w:val="center"/>
          </w:tcPr>
          <w:p w14:paraId="548F379B" w14:textId="77777777" w:rsidR="005941E4" w:rsidRPr="003234C5" w:rsidRDefault="005941E4" w:rsidP="00ED663C">
            <w:pPr>
              <w:autoSpaceDE w:val="0"/>
              <w:autoSpaceDN w:val="0"/>
              <w:adjustRightInd w:val="0"/>
              <w:jc w:val="center"/>
              <w:rPr>
                <w:rFonts w:ascii="Arial" w:hAnsi="Arial" w:cs="Arial"/>
                <w:b/>
                <w:sz w:val="18"/>
                <w:szCs w:val="18"/>
              </w:rPr>
            </w:pPr>
            <w:proofErr w:type="spellStart"/>
            <w:r w:rsidRPr="003234C5">
              <w:rPr>
                <w:rFonts w:ascii="Arial" w:hAnsi="Arial" w:cs="Arial"/>
                <w:b/>
                <w:sz w:val="20"/>
                <w:szCs w:val="20"/>
              </w:rPr>
              <w:t>Transf</w:t>
            </w:r>
            <w:proofErr w:type="spellEnd"/>
            <w:r w:rsidRPr="003234C5">
              <w:rPr>
                <w:rFonts w:ascii="Arial" w:hAnsi="Arial" w:cs="Arial"/>
                <w:b/>
                <w:sz w:val="20"/>
                <w:szCs w:val="20"/>
              </w:rPr>
              <w:t>.</w:t>
            </w:r>
          </w:p>
        </w:tc>
        <w:tc>
          <w:tcPr>
            <w:tcW w:w="1352" w:type="dxa"/>
            <w:shd w:val="clear" w:color="auto" w:fill="C0C0C0"/>
            <w:vAlign w:val="center"/>
          </w:tcPr>
          <w:p w14:paraId="15551FDC" w14:textId="77777777" w:rsidR="005941E4" w:rsidRPr="003234C5" w:rsidRDefault="005941E4" w:rsidP="00ED663C">
            <w:pPr>
              <w:autoSpaceDE w:val="0"/>
              <w:autoSpaceDN w:val="0"/>
              <w:adjustRightInd w:val="0"/>
              <w:jc w:val="center"/>
              <w:rPr>
                <w:rFonts w:ascii="Arial" w:hAnsi="Arial" w:cs="Arial"/>
                <w:b/>
                <w:sz w:val="20"/>
                <w:szCs w:val="20"/>
              </w:rPr>
            </w:pPr>
            <w:r w:rsidRPr="003234C5">
              <w:rPr>
                <w:rFonts w:ascii="Arial" w:hAnsi="Arial" w:cs="Arial"/>
                <w:b/>
                <w:sz w:val="20"/>
                <w:szCs w:val="20"/>
              </w:rPr>
              <w:t xml:space="preserve">Saldo em </w:t>
            </w:r>
            <w:r>
              <w:rPr>
                <w:rFonts w:ascii="Arial" w:hAnsi="Arial" w:cs="Arial"/>
                <w:b/>
                <w:sz w:val="20"/>
                <w:szCs w:val="20"/>
              </w:rPr>
              <w:t>2019</w:t>
            </w:r>
          </w:p>
        </w:tc>
      </w:tr>
      <w:tr w:rsidR="005941E4" w:rsidRPr="003234C5" w14:paraId="534CE05F" w14:textId="77777777" w:rsidTr="00D81B99">
        <w:trPr>
          <w:cantSplit/>
          <w:trHeight w:hRule="exact" w:val="284"/>
          <w:jc w:val="center"/>
        </w:trPr>
        <w:tc>
          <w:tcPr>
            <w:tcW w:w="2547" w:type="dxa"/>
            <w:shd w:val="clear" w:color="auto" w:fill="FFFFFF"/>
            <w:vAlign w:val="center"/>
          </w:tcPr>
          <w:p w14:paraId="16000249" w14:textId="77777777" w:rsidR="005941E4" w:rsidRPr="003234C5" w:rsidRDefault="005941E4" w:rsidP="00ED663C">
            <w:pPr>
              <w:autoSpaceDE w:val="0"/>
              <w:autoSpaceDN w:val="0"/>
              <w:adjustRightInd w:val="0"/>
              <w:rPr>
                <w:rFonts w:ascii="Arial" w:hAnsi="Arial" w:cs="Arial"/>
                <w:sz w:val="20"/>
                <w:szCs w:val="20"/>
              </w:rPr>
            </w:pPr>
            <w:r w:rsidRPr="003234C5">
              <w:rPr>
                <w:rFonts w:ascii="Arial" w:hAnsi="Arial" w:cs="Arial"/>
                <w:sz w:val="20"/>
                <w:szCs w:val="20"/>
              </w:rPr>
              <w:t>Arrendamento – IFRS 16</w:t>
            </w:r>
          </w:p>
        </w:tc>
        <w:tc>
          <w:tcPr>
            <w:tcW w:w="1417" w:type="dxa"/>
            <w:shd w:val="clear" w:color="auto" w:fill="FFFFFF"/>
          </w:tcPr>
          <w:p w14:paraId="19646F62" w14:textId="77777777" w:rsidR="005941E4" w:rsidRPr="003234C5" w:rsidRDefault="005941E4" w:rsidP="00ED663C">
            <w:pPr>
              <w:jc w:val="right"/>
              <w:rPr>
                <w:rFonts w:ascii="Arial" w:hAnsi="Arial" w:cs="Arial"/>
                <w:sz w:val="20"/>
                <w:szCs w:val="20"/>
              </w:rPr>
            </w:pPr>
            <w:r w:rsidRPr="003234C5">
              <w:rPr>
                <w:rFonts w:ascii="Arial" w:hAnsi="Arial" w:cs="Arial"/>
                <w:sz w:val="20"/>
                <w:szCs w:val="20"/>
              </w:rPr>
              <w:t xml:space="preserve"> -   </w:t>
            </w:r>
          </w:p>
        </w:tc>
        <w:tc>
          <w:tcPr>
            <w:tcW w:w="1134" w:type="dxa"/>
            <w:shd w:val="clear" w:color="auto" w:fill="FFFFFF"/>
          </w:tcPr>
          <w:p w14:paraId="3D11B34E" w14:textId="55D801B9" w:rsidR="005941E4" w:rsidRPr="003234C5" w:rsidRDefault="005941E4" w:rsidP="00ED663C">
            <w:pPr>
              <w:jc w:val="right"/>
              <w:rPr>
                <w:rFonts w:ascii="Arial" w:hAnsi="Arial" w:cs="Arial"/>
                <w:sz w:val="20"/>
                <w:szCs w:val="20"/>
              </w:rPr>
            </w:pPr>
            <w:r>
              <w:rPr>
                <w:rFonts w:ascii="Arial" w:hAnsi="Arial" w:cs="Arial"/>
                <w:sz w:val="20"/>
                <w:szCs w:val="20"/>
              </w:rPr>
              <w:t>(2.</w:t>
            </w:r>
            <w:r w:rsidR="002C5AA6">
              <w:rPr>
                <w:rFonts w:ascii="Arial" w:hAnsi="Arial" w:cs="Arial"/>
                <w:sz w:val="20"/>
                <w:szCs w:val="20"/>
              </w:rPr>
              <w:t>854</w:t>
            </w:r>
            <w:r>
              <w:rPr>
                <w:rFonts w:ascii="Arial" w:hAnsi="Arial" w:cs="Arial"/>
                <w:sz w:val="20"/>
                <w:szCs w:val="20"/>
              </w:rPr>
              <w:t>)</w:t>
            </w:r>
          </w:p>
        </w:tc>
        <w:tc>
          <w:tcPr>
            <w:tcW w:w="1279" w:type="dxa"/>
            <w:shd w:val="clear" w:color="auto" w:fill="FFFFFF"/>
          </w:tcPr>
          <w:p w14:paraId="6B1893B8" w14:textId="198B615A" w:rsidR="005941E4" w:rsidRPr="003234C5" w:rsidRDefault="004B0C2F" w:rsidP="00ED663C">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28E7F8A0" w14:textId="77777777" w:rsidR="005941E4" w:rsidRPr="003234C5" w:rsidRDefault="005941E4" w:rsidP="00ED663C">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6639D27D" w14:textId="7ADC6101" w:rsidR="005941E4" w:rsidRPr="003234C5" w:rsidRDefault="00BF3669" w:rsidP="00ED663C">
            <w:pPr>
              <w:jc w:val="right"/>
              <w:rPr>
                <w:rFonts w:ascii="Arial" w:hAnsi="Arial" w:cs="Arial"/>
                <w:sz w:val="20"/>
                <w:szCs w:val="20"/>
              </w:rPr>
            </w:pPr>
            <w:r>
              <w:rPr>
                <w:rFonts w:ascii="Arial" w:hAnsi="Arial" w:cs="Arial"/>
                <w:sz w:val="20"/>
                <w:szCs w:val="20"/>
              </w:rPr>
              <w:t>(2.854)</w:t>
            </w:r>
          </w:p>
        </w:tc>
      </w:tr>
      <w:tr w:rsidR="005941E4" w:rsidRPr="003234C5" w14:paraId="56FEA993" w14:textId="77777777" w:rsidTr="00D81B99">
        <w:trPr>
          <w:cantSplit/>
          <w:trHeight w:hRule="exact" w:val="284"/>
          <w:jc w:val="center"/>
        </w:trPr>
        <w:tc>
          <w:tcPr>
            <w:tcW w:w="2547" w:type="dxa"/>
            <w:tcBorders>
              <w:top w:val="single" w:sz="4" w:space="0" w:color="auto"/>
              <w:left w:val="single" w:sz="4" w:space="0" w:color="auto"/>
              <w:bottom w:val="single" w:sz="4" w:space="0" w:color="auto"/>
              <w:right w:val="single" w:sz="4" w:space="0" w:color="auto"/>
            </w:tcBorders>
            <w:shd w:val="clear" w:color="auto" w:fill="BFBFBF"/>
            <w:vAlign w:val="center"/>
          </w:tcPr>
          <w:p w14:paraId="66B90C88" w14:textId="77777777" w:rsidR="005941E4" w:rsidRPr="003234C5" w:rsidRDefault="005941E4" w:rsidP="00ED663C">
            <w:pPr>
              <w:jc w:val="both"/>
              <w:rPr>
                <w:rFonts w:ascii="Arial" w:hAnsi="Arial" w:cs="Arial"/>
                <w:b/>
                <w:sz w:val="20"/>
                <w:szCs w:val="20"/>
              </w:rPr>
            </w:pPr>
            <w:r w:rsidRPr="003234C5">
              <w:rPr>
                <w:rFonts w:ascii="Arial" w:hAnsi="Arial" w:cs="Arial"/>
                <w:b/>
                <w:sz w:val="20"/>
                <w:szCs w:val="20"/>
              </w:rPr>
              <w:t>TOTAIS</w:t>
            </w:r>
          </w:p>
        </w:tc>
        <w:tc>
          <w:tcPr>
            <w:tcW w:w="1417" w:type="dxa"/>
            <w:tcBorders>
              <w:top w:val="single" w:sz="4" w:space="0" w:color="auto"/>
              <w:left w:val="single" w:sz="4" w:space="0" w:color="auto"/>
              <w:bottom w:val="single" w:sz="4" w:space="0" w:color="auto"/>
              <w:right w:val="single" w:sz="4" w:space="0" w:color="auto"/>
            </w:tcBorders>
            <w:shd w:val="clear" w:color="auto" w:fill="BFBFBF"/>
          </w:tcPr>
          <w:p w14:paraId="6422A242" w14:textId="3FE692BB" w:rsidR="005941E4" w:rsidRPr="003234C5" w:rsidRDefault="00CC15A8" w:rsidP="00ED663C">
            <w:pPr>
              <w:jc w:val="right"/>
              <w:rPr>
                <w:rFonts w:ascii="Arial" w:hAnsi="Arial" w:cs="Arial"/>
                <w:b/>
                <w:sz w:val="20"/>
                <w:szCs w:val="20"/>
              </w:rPr>
            </w:pPr>
            <w:r>
              <w:rPr>
                <w:rFonts w:ascii="Arial" w:hAnsi="Arial" w:cs="Arial"/>
                <w:b/>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14:paraId="1FB7AA8D" w14:textId="53A34158" w:rsidR="005941E4" w:rsidRPr="003234C5" w:rsidRDefault="005941E4" w:rsidP="00ED663C">
            <w:pPr>
              <w:jc w:val="right"/>
              <w:rPr>
                <w:rFonts w:ascii="Arial" w:hAnsi="Arial" w:cs="Arial"/>
                <w:b/>
                <w:bCs/>
                <w:sz w:val="20"/>
                <w:szCs w:val="20"/>
              </w:rPr>
            </w:pPr>
            <w:r>
              <w:rPr>
                <w:rFonts w:ascii="Arial" w:hAnsi="Arial" w:cs="Arial"/>
                <w:b/>
                <w:bCs/>
                <w:sz w:val="20"/>
                <w:szCs w:val="20"/>
              </w:rPr>
              <w:t>(</w:t>
            </w:r>
            <w:r w:rsidR="003C28E4">
              <w:rPr>
                <w:rFonts w:ascii="Arial" w:hAnsi="Arial" w:cs="Arial"/>
                <w:b/>
                <w:bCs/>
                <w:sz w:val="20"/>
                <w:szCs w:val="20"/>
              </w:rPr>
              <w:t>2.</w:t>
            </w:r>
            <w:r w:rsidR="002C5AA6">
              <w:rPr>
                <w:rFonts w:ascii="Arial" w:hAnsi="Arial" w:cs="Arial"/>
                <w:b/>
                <w:bCs/>
                <w:sz w:val="20"/>
                <w:szCs w:val="20"/>
              </w:rPr>
              <w:t>854</w:t>
            </w:r>
            <w:r>
              <w:rPr>
                <w:rFonts w:ascii="Arial" w:hAnsi="Arial" w:cs="Arial"/>
                <w:b/>
                <w:bCs/>
                <w:sz w:val="20"/>
                <w:szCs w:val="20"/>
              </w:rPr>
              <w:t>)</w:t>
            </w:r>
          </w:p>
        </w:tc>
        <w:tc>
          <w:tcPr>
            <w:tcW w:w="1279" w:type="dxa"/>
            <w:tcBorders>
              <w:top w:val="single" w:sz="4" w:space="0" w:color="auto"/>
              <w:left w:val="single" w:sz="4" w:space="0" w:color="auto"/>
              <w:bottom w:val="single" w:sz="4" w:space="0" w:color="auto"/>
              <w:right w:val="single" w:sz="4" w:space="0" w:color="auto"/>
            </w:tcBorders>
            <w:shd w:val="clear" w:color="auto" w:fill="BFBFBF"/>
          </w:tcPr>
          <w:p w14:paraId="64169E44" w14:textId="2DBFA042" w:rsidR="005941E4" w:rsidRPr="003234C5" w:rsidRDefault="004B0C2F" w:rsidP="00ED663C">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1348" w:type="dxa"/>
            <w:tcBorders>
              <w:top w:val="single" w:sz="4" w:space="0" w:color="auto"/>
              <w:left w:val="single" w:sz="4" w:space="0" w:color="auto"/>
              <w:bottom w:val="single" w:sz="4" w:space="0" w:color="auto"/>
              <w:right w:val="single" w:sz="4" w:space="0" w:color="auto"/>
            </w:tcBorders>
            <w:shd w:val="clear" w:color="auto" w:fill="BFBFBF"/>
          </w:tcPr>
          <w:p w14:paraId="52C275A3" w14:textId="77777777" w:rsidR="005941E4" w:rsidRPr="003234C5" w:rsidRDefault="005941E4" w:rsidP="00ED663C">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1352" w:type="dxa"/>
            <w:tcBorders>
              <w:top w:val="single" w:sz="4" w:space="0" w:color="auto"/>
              <w:left w:val="single" w:sz="4" w:space="0" w:color="auto"/>
              <w:bottom w:val="single" w:sz="4" w:space="0" w:color="auto"/>
              <w:right w:val="single" w:sz="4" w:space="0" w:color="auto"/>
            </w:tcBorders>
            <w:shd w:val="clear" w:color="auto" w:fill="BFBFBF"/>
          </w:tcPr>
          <w:p w14:paraId="0927CD61" w14:textId="0E8BB4CE" w:rsidR="005941E4" w:rsidRPr="003234C5" w:rsidRDefault="005941E4" w:rsidP="00ED663C">
            <w:pPr>
              <w:jc w:val="right"/>
              <w:rPr>
                <w:rFonts w:ascii="Arial" w:hAnsi="Arial" w:cs="Arial"/>
                <w:b/>
                <w:bCs/>
                <w:sz w:val="20"/>
                <w:szCs w:val="20"/>
              </w:rPr>
            </w:pPr>
            <w:r>
              <w:rPr>
                <w:rFonts w:ascii="Arial" w:hAnsi="Arial" w:cs="Arial"/>
                <w:b/>
                <w:bCs/>
                <w:sz w:val="20"/>
                <w:szCs w:val="20"/>
              </w:rPr>
              <w:t>(</w:t>
            </w:r>
            <w:r w:rsidR="00BF3669">
              <w:rPr>
                <w:rFonts w:ascii="Arial" w:hAnsi="Arial" w:cs="Arial"/>
                <w:b/>
                <w:bCs/>
                <w:sz w:val="20"/>
                <w:szCs w:val="20"/>
              </w:rPr>
              <w:t>2.854</w:t>
            </w:r>
            <w:r>
              <w:rPr>
                <w:rFonts w:ascii="Arial" w:hAnsi="Arial" w:cs="Arial"/>
                <w:b/>
                <w:bCs/>
                <w:sz w:val="20"/>
                <w:szCs w:val="20"/>
              </w:rPr>
              <w:t>)</w:t>
            </w:r>
          </w:p>
        </w:tc>
      </w:tr>
      <w:tr w:rsidR="005941E4" w:rsidRPr="003234C5" w14:paraId="36014F20" w14:textId="77777777" w:rsidTr="00D81B99">
        <w:trPr>
          <w:cantSplit/>
          <w:trHeight w:hRule="exact" w:val="284"/>
          <w:jc w:val="center"/>
        </w:trPr>
        <w:tc>
          <w:tcPr>
            <w:tcW w:w="2547" w:type="dxa"/>
            <w:shd w:val="clear" w:color="auto" w:fill="C0C0C0"/>
            <w:vAlign w:val="center"/>
          </w:tcPr>
          <w:p w14:paraId="02BC541B" w14:textId="77777777" w:rsidR="005941E4" w:rsidRPr="003234C5" w:rsidRDefault="005941E4" w:rsidP="00ED663C">
            <w:pPr>
              <w:autoSpaceDE w:val="0"/>
              <w:autoSpaceDN w:val="0"/>
              <w:adjustRightInd w:val="0"/>
              <w:jc w:val="both"/>
              <w:rPr>
                <w:rFonts w:ascii="Arial" w:hAnsi="Arial" w:cs="Arial"/>
                <w:b/>
                <w:sz w:val="20"/>
                <w:szCs w:val="20"/>
              </w:rPr>
            </w:pPr>
            <w:r w:rsidRPr="003234C5">
              <w:rPr>
                <w:rFonts w:ascii="Arial" w:hAnsi="Arial" w:cs="Arial"/>
                <w:b/>
                <w:sz w:val="20"/>
                <w:szCs w:val="20"/>
              </w:rPr>
              <w:t>TOTAL LÍQUIDO</w:t>
            </w:r>
          </w:p>
        </w:tc>
        <w:tc>
          <w:tcPr>
            <w:tcW w:w="1417" w:type="dxa"/>
            <w:shd w:val="clear" w:color="auto" w:fill="C0C0C0"/>
            <w:vAlign w:val="center"/>
          </w:tcPr>
          <w:p w14:paraId="0DF35246" w14:textId="5CE7AE80" w:rsidR="005941E4" w:rsidRPr="003234C5" w:rsidRDefault="00CC15A8" w:rsidP="00ED663C">
            <w:pPr>
              <w:autoSpaceDE w:val="0"/>
              <w:autoSpaceDN w:val="0"/>
              <w:adjustRightInd w:val="0"/>
              <w:jc w:val="right"/>
              <w:rPr>
                <w:rFonts w:ascii="Arial" w:hAnsi="Arial" w:cs="Arial"/>
                <w:b/>
                <w:sz w:val="20"/>
                <w:szCs w:val="20"/>
              </w:rPr>
            </w:pPr>
            <w:r>
              <w:rPr>
                <w:rFonts w:ascii="Arial" w:hAnsi="Arial" w:cs="Arial"/>
                <w:b/>
                <w:bCs/>
                <w:color w:val="000000"/>
                <w:sz w:val="20"/>
                <w:szCs w:val="20"/>
              </w:rPr>
              <w:t>-</w:t>
            </w:r>
          </w:p>
        </w:tc>
        <w:tc>
          <w:tcPr>
            <w:tcW w:w="1134" w:type="dxa"/>
            <w:shd w:val="clear" w:color="auto" w:fill="C0C0C0"/>
          </w:tcPr>
          <w:p w14:paraId="4AA7FF54" w14:textId="483A9DCF" w:rsidR="005941E4" w:rsidRPr="003234C5" w:rsidRDefault="004B0C2F" w:rsidP="00ED663C">
            <w:pPr>
              <w:autoSpaceDE w:val="0"/>
              <w:autoSpaceDN w:val="0"/>
              <w:adjustRightInd w:val="0"/>
              <w:jc w:val="right"/>
              <w:rPr>
                <w:rFonts w:ascii="Arial" w:hAnsi="Arial" w:cs="Arial"/>
                <w:b/>
                <w:bCs/>
                <w:sz w:val="20"/>
                <w:szCs w:val="20"/>
              </w:rPr>
            </w:pPr>
            <w:r>
              <w:rPr>
                <w:rFonts w:ascii="Arial" w:hAnsi="Arial" w:cs="Arial"/>
                <w:b/>
                <w:bCs/>
                <w:sz w:val="20"/>
                <w:szCs w:val="20"/>
              </w:rPr>
              <w:t>11.146</w:t>
            </w:r>
          </w:p>
        </w:tc>
        <w:tc>
          <w:tcPr>
            <w:tcW w:w="1279" w:type="dxa"/>
            <w:shd w:val="clear" w:color="auto" w:fill="C0C0C0"/>
          </w:tcPr>
          <w:p w14:paraId="29FB1754" w14:textId="1A67868F" w:rsidR="005941E4" w:rsidRPr="003234C5" w:rsidRDefault="00515278" w:rsidP="00ED663C">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1348" w:type="dxa"/>
            <w:shd w:val="clear" w:color="auto" w:fill="C0C0C0"/>
          </w:tcPr>
          <w:p w14:paraId="20BAB4E1" w14:textId="2E932CC0" w:rsidR="005941E4" w:rsidRPr="003234C5" w:rsidRDefault="00515278" w:rsidP="00ED663C">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1352" w:type="dxa"/>
            <w:shd w:val="clear" w:color="auto" w:fill="C0C0C0"/>
          </w:tcPr>
          <w:p w14:paraId="35B9DA87" w14:textId="3EB8BFCB" w:rsidR="005941E4" w:rsidRPr="003234C5" w:rsidRDefault="00BF3669" w:rsidP="00ED663C">
            <w:pPr>
              <w:autoSpaceDE w:val="0"/>
              <w:autoSpaceDN w:val="0"/>
              <w:adjustRightInd w:val="0"/>
              <w:jc w:val="right"/>
              <w:rPr>
                <w:rFonts w:ascii="Arial" w:hAnsi="Arial" w:cs="Arial"/>
                <w:b/>
                <w:bCs/>
                <w:sz w:val="20"/>
                <w:szCs w:val="20"/>
              </w:rPr>
            </w:pPr>
            <w:r>
              <w:rPr>
                <w:rFonts w:ascii="Arial" w:hAnsi="Arial" w:cs="Arial"/>
                <w:b/>
                <w:bCs/>
                <w:sz w:val="20"/>
                <w:szCs w:val="20"/>
              </w:rPr>
              <w:t>11.146</w:t>
            </w:r>
          </w:p>
        </w:tc>
      </w:tr>
    </w:tbl>
    <w:p w14:paraId="64F349CE" w14:textId="77777777" w:rsidR="005941E4" w:rsidRDefault="005941E4" w:rsidP="00200682">
      <w:pPr>
        <w:autoSpaceDE w:val="0"/>
        <w:autoSpaceDN w:val="0"/>
        <w:adjustRightInd w:val="0"/>
        <w:jc w:val="both"/>
        <w:rPr>
          <w:rFonts w:ascii="Arial" w:hAnsi="Arial" w:cs="Arial"/>
          <w:b/>
        </w:rPr>
      </w:pPr>
    </w:p>
    <w:p w14:paraId="4B272874" w14:textId="6FE0C769" w:rsidR="00200682" w:rsidRPr="003234C5" w:rsidRDefault="00200682" w:rsidP="00200682">
      <w:pPr>
        <w:autoSpaceDE w:val="0"/>
        <w:autoSpaceDN w:val="0"/>
        <w:adjustRightInd w:val="0"/>
        <w:jc w:val="both"/>
        <w:rPr>
          <w:rFonts w:ascii="Arial" w:hAnsi="Arial" w:cs="Arial"/>
          <w:b/>
        </w:rPr>
      </w:pPr>
      <w:r w:rsidRPr="003234C5">
        <w:rPr>
          <w:rFonts w:ascii="Arial" w:hAnsi="Arial" w:cs="Arial"/>
          <w:b/>
        </w:rPr>
        <w:t>NOTA 1</w:t>
      </w:r>
      <w:r w:rsidR="00ED0199">
        <w:rPr>
          <w:rFonts w:ascii="Arial" w:hAnsi="Arial" w:cs="Arial"/>
          <w:b/>
        </w:rPr>
        <w:t>8</w:t>
      </w:r>
      <w:r w:rsidRPr="003234C5">
        <w:rPr>
          <w:rFonts w:ascii="Arial" w:hAnsi="Arial" w:cs="Arial"/>
          <w:b/>
        </w:rPr>
        <w:t>. INTANGÍVEL</w:t>
      </w:r>
    </w:p>
    <w:p w14:paraId="08C14984" w14:textId="5567CCCF" w:rsidR="004A325B" w:rsidRDefault="00200682" w:rsidP="00200682">
      <w:pPr>
        <w:autoSpaceDE w:val="0"/>
        <w:autoSpaceDN w:val="0"/>
        <w:adjustRightInd w:val="0"/>
        <w:jc w:val="both"/>
        <w:rPr>
          <w:rFonts w:ascii="Arial" w:hAnsi="Arial" w:cs="Arial"/>
        </w:rPr>
      </w:pPr>
      <w:r w:rsidRPr="003234C5">
        <w:rPr>
          <w:rFonts w:ascii="Arial" w:hAnsi="Arial" w:cs="Arial"/>
        </w:rPr>
        <w:t xml:space="preserve">Os valores reconhecidos no Intangível </w:t>
      </w:r>
      <w:r w:rsidR="008A6C6A" w:rsidRPr="003234C5">
        <w:rPr>
          <w:rFonts w:ascii="Arial" w:hAnsi="Arial" w:cs="Arial"/>
        </w:rPr>
        <w:t>decorrem</w:t>
      </w:r>
      <w:r w:rsidRPr="003234C5">
        <w:rPr>
          <w:rFonts w:ascii="Arial" w:hAnsi="Arial" w:cs="Arial"/>
        </w:rPr>
        <w:t xml:space="preserve"> </w:t>
      </w:r>
      <w:r w:rsidR="008A6C6A" w:rsidRPr="003234C5">
        <w:rPr>
          <w:rFonts w:ascii="Arial" w:hAnsi="Arial" w:cs="Arial"/>
        </w:rPr>
        <w:t>d</w:t>
      </w:r>
      <w:r w:rsidRPr="003234C5">
        <w:rPr>
          <w:rFonts w:ascii="Arial" w:hAnsi="Arial" w:cs="Arial"/>
        </w:rPr>
        <w:t>o Contrato de Concessão e o seu montante total é constituído pelo valor de custo dos ativos construídos ou adquiridos para fins de prestação de serviços de concessão. O montante das amortizações acumuladas está destacado pelo total.</w:t>
      </w:r>
      <w:r w:rsidR="00A746E0" w:rsidRPr="003234C5">
        <w:rPr>
          <w:rFonts w:ascii="Arial" w:hAnsi="Arial" w:cs="Arial"/>
        </w:rPr>
        <w:t xml:space="preserve"> </w:t>
      </w:r>
      <w:r w:rsidRPr="003234C5">
        <w:rPr>
          <w:rFonts w:ascii="Arial" w:hAnsi="Arial" w:cs="Arial"/>
        </w:rPr>
        <w:t xml:space="preserve">Devido à característica das atividades operacionais, a amortização do intangível tem início quando o bem que lhe deu origem entra em </w:t>
      </w:r>
      <w:r w:rsidR="00822A47" w:rsidRPr="003234C5">
        <w:rPr>
          <w:rFonts w:ascii="Arial" w:hAnsi="Arial" w:cs="Arial"/>
        </w:rPr>
        <w:t>operação</w:t>
      </w:r>
      <w:r w:rsidRPr="003234C5">
        <w:rPr>
          <w:rFonts w:ascii="Arial" w:hAnsi="Arial" w:cs="Arial"/>
        </w:rPr>
        <w:t>. No quadro abaixo demonstra</w:t>
      </w:r>
      <w:r w:rsidR="00822A47" w:rsidRPr="003234C5">
        <w:rPr>
          <w:rFonts w:ascii="Arial" w:hAnsi="Arial" w:cs="Arial"/>
        </w:rPr>
        <w:t>-se</w:t>
      </w:r>
      <w:r w:rsidRPr="003234C5">
        <w:rPr>
          <w:rFonts w:ascii="Arial" w:hAnsi="Arial" w:cs="Arial"/>
        </w:rPr>
        <w:t xml:space="preserve"> a composição atual da conta:</w:t>
      </w:r>
    </w:p>
    <w:p w14:paraId="0A2916C4" w14:textId="77777777" w:rsidR="00C62487" w:rsidRPr="003234C5" w:rsidRDefault="00C62487" w:rsidP="00200682">
      <w:pPr>
        <w:autoSpaceDE w:val="0"/>
        <w:autoSpaceDN w:val="0"/>
        <w:adjustRightInd w:val="0"/>
        <w:jc w:val="both"/>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708"/>
        <w:gridCol w:w="1418"/>
        <w:gridCol w:w="1417"/>
        <w:gridCol w:w="1418"/>
        <w:gridCol w:w="1417"/>
      </w:tblGrid>
      <w:tr w:rsidR="00200682" w:rsidRPr="003234C5" w14:paraId="2494CAEE" w14:textId="77777777" w:rsidTr="00696768">
        <w:trPr>
          <w:cantSplit/>
          <w:trHeight w:hRule="exact" w:val="284"/>
          <w:jc w:val="center"/>
        </w:trPr>
        <w:tc>
          <w:tcPr>
            <w:tcW w:w="2689" w:type="dxa"/>
            <w:vMerge w:val="restart"/>
            <w:shd w:val="clear" w:color="auto" w:fill="C0C0C0"/>
            <w:vAlign w:val="center"/>
          </w:tcPr>
          <w:p w14:paraId="288011FE" w14:textId="77777777" w:rsidR="00200682" w:rsidRPr="003234C5" w:rsidRDefault="00200682" w:rsidP="00E84342">
            <w:pPr>
              <w:autoSpaceDE w:val="0"/>
              <w:autoSpaceDN w:val="0"/>
              <w:adjustRightInd w:val="0"/>
              <w:jc w:val="both"/>
              <w:rPr>
                <w:rFonts w:ascii="Arial" w:hAnsi="Arial" w:cs="Arial"/>
                <w:b/>
                <w:sz w:val="20"/>
                <w:szCs w:val="20"/>
              </w:rPr>
            </w:pPr>
            <w:r w:rsidRPr="003234C5">
              <w:rPr>
                <w:rFonts w:ascii="Arial" w:hAnsi="Arial" w:cs="Arial"/>
                <w:b/>
                <w:sz w:val="20"/>
                <w:szCs w:val="20"/>
              </w:rPr>
              <w:t>DESCRIÇÃO</w:t>
            </w:r>
          </w:p>
        </w:tc>
        <w:tc>
          <w:tcPr>
            <w:tcW w:w="4961" w:type="dxa"/>
            <w:gridSpan w:val="4"/>
            <w:shd w:val="clear" w:color="auto" w:fill="C0C0C0"/>
            <w:vAlign w:val="center"/>
          </w:tcPr>
          <w:p w14:paraId="543EFF0F" w14:textId="072504F6" w:rsidR="00200682" w:rsidRPr="003234C5" w:rsidRDefault="00C6257E" w:rsidP="00E84342">
            <w:pPr>
              <w:autoSpaceDE w:val="0"/>
              <w:autoSpaceDN w:val="0"/>
              <w:adjustRightInd w:val="0"/>
              <w:jc w:val="center"/>
              <w:rPr>
                <w:rFonts w:ascii="Arial" w:hAnsi="Arial" w:cs="Arial"/>
                <w:b/>
                <w:sz w:val="20"/>
                <w:szCs w:val="20"/>
              </w:rPr>
            </w:pPr>
            <w:r>
              <w:rPr>
                <w:rFonts w:ascii="Arial" w:hAnsi="Arial" w:cs="Arial"/>
                <w:b/>
                <w:sz w:val="20"/>
                <w:szCs w:val="20"/>
              </w:rPr>
              <w:t>2019</w:t>
            </w:r>
          </w:p>
        </w:tc>
        <w:tc>
          <w:tcPr>
            <w:tcW w:w="1417" w:type="dxa"/>
            <w:vMerge w:val="restart"/>
            <w:shd w:val="clear" w:color="auto" w:fill="C0C0C0"/>
            <w:vAlign w:val="center"/>
          </w:tcPr>
          <w:p w14:paraId="0FCBCEB9" w14:textId="77777777" w:rsidR="00200682" w:rsidRPr="003234C5" w:rsidRDefault="00200682" w:rsidP="00E84342">
            <w:pPr>
              <w:autoSpaceDE w:val="0"/>
              <w:autoSpaceDN w:val="0"/>
              <w:adjustRightInd w:val="0"/>
              <w:spacing w:after="0"/>
              <w:jc w:val="center"/>
              <w:rPr>
                <w:rFonts w:ascii="Arial" w:hAnsi="Arial" w:cs="Arial"/>
                <w:b/>
                <w:sz w:val="20"/>
                <w:szCs w:val="20"/>
              </w:rPr>
            </w:pPr>
          </w:p>
          <w:p w14:paraId="18C654BE" w14:textId="5F432998" w:rsidR="00200682" w:rsidRPr="003234C5" w:rsidRDefault="00C6257E" w:rsidP="00E84342">
            <w:pPr>
              <w:autoSpaceDE w:val="0"/>
              <w:autoSpaceDN w:val="0"/>
              <w:adjustRightInd w:val="0"/>
              <w:jc w:val="center"/>
              <w:rPr>
                <w:rFonts w:ascii="Arial" w:hAnsi="Arial" w:cs="Arial"/>
                <w:b/>
                <w:sz w:val="20"/>
                <w:szCs w:val="20"/>
              </w:rPr>
            </w:pPr>
            <w:r>
              <w:rPr>
                <w:rFonts w:ascii="Arial" w:hAnsi="Arial" w:cs="Arial"/>
                <w:b/>
                <w:sz w:val="20"/>
                <w:szCs w:val="20"/>
              </w:rPr>
              <w:t>2018</w:t>
            </w:r>
          </w:p>
          <w:p w14:paraId="0BADC615" w14:textId="77777777" w:rsidR="00200682" w:rsidRPr="003234C5" w:rsidRDefault="00200682" w:rsidP="00E84342">
            <w:pPr>
              <w:autoSpaceDE w:val="0"/>
              <w:autoSpaceDN w:val="0"/>
              <w:adjustRightInd w:val="0"/>
              <w:jc w:val="center"/>
              <w:rPr>
                <w:rFonts w:ascii="Arial" w:hAnsi="Arial" w:cs="Arial"/>
                <w:b/>
                <w:sz w:val="20"/>
                <w:szCs w:val="20"/>
              </w:rPr>
            </w:pPr>
          </w:p>
        </w:tc>
      </w:tr>
      <w:tr w:rsidR="00200682" w:rsidRPr="003234C5" w14:paraId="1B819AE7" w14:textId="77777777" w:rsidTr="00696768">
        <w:trPr>
          <w:cantSplit/>
          <w:trHeight w:hRule="exact" w:val="761"/>
          <w:jc w:val="center"/>
        </w:trPr>
        <w:tc>
          <w:tcPr>
            <w:tcW w:w="2689" w:type="dxa"/>
            <w:vMerge/>
            <w:shd w:val="clear" w:color="auto" w:fill="C0C0C0"/>
            <w:vAlign w:val="center"/>
          </w:tcPr>
          <w:p w14:paraId="7B39C1E2" w14:textId="77777777" w:rsidR="00200682" w:rsidRPr="003234C5" w:rsidRDefault="00200682" w:rsidP="00E84342">
            <w:pPr>
              <w:autoSpaceDE w:val="0"/>
              <w:autoSpaceDN w:val="0"/>
              <w:adjustRightInd w:val="0"/>
              <w:jc w:val="both"/>
              <w:rPr>
                <w:rFonts w:ascii="Arial" w:hAnsi="Arial" w:cs="Arial"/>
                <w:sz w:val="20"/>
                <w:szCs w:val="20"/>
              </w:rPr>
            </w:pPr>
          </w:p>
        </w:tc>
        <w:tc>
          <w:tcPr>
            <w:tcW w:w="708" w:type="dxa"/>
            <w:shd w:val="clear" w:color="auto" w:fill="C0C0C0"/>
            <w:vAlign w:val="center"/>
          </w:tcPr>
          <w:p w14:paraId="71CFE87F" w14:textId="77777777" w:rsidR="00200682" w:rsidRPr="003234C5" w:rsidRDefault="00200682" w:rsidP="00E84342">
            <w:pPr>
              <w:autoSpaceDE w:val="0"/>
              <w:autoSpaceDN w:val="0"/>
              <w:adjustRightInd w:val="0"/>
              <w:jc w:val="both"/>
              <w:rPr>
                <w:rFonts w:ascii="Arial" w:hAnsi="Arial" w:cs="Arial"/>
                <w:b/>
                <w:sz w:val="20"/>
                <w:szCs w:val="20"/>
              </w:rPr>
            </w:pPr>
            <w:r w:rsidRPr="003234C5">
              <w:rPr>
                <w:rFonts w:ascii="Arial" w:hAnsi="Arial" w:cs="Arial"/>
                <w:b/>
                <w:sz w:val="20"/>
                <w:szCs w:val="20"/>
              </w:rPr>
              <w:t>Taxa</w:t>
            </w:r>
          </w:p>
        </w:tc>
        <w:tc>
          <w:tcPr>
            <w:tcW w:w="1418" w:type="dxa"/>
            <w:shd w:val="clear" w:color="auto" w:fill="C0C0C0"/>
            <w:vAlign w:val="center"/>
          </w:tcPr>
          <w:p w14:paraId="50173178" w14:textId="77777777" w:rsidR="00200682" w:rsidRPr="003234C5" w:rsidRDefault="00200682" w:rsidP="00E84342">
            <w:pPr>
              <w:autoSpaceDE w:val="0"/>
              <w:autoSpaceDN w:val="0"/>
              <w:adjustRightInd w:val="0"/>
              <w:jc w:val="center"/>
              <w:rPr>
                <w:rFonts w:ascii="Arial" w:hAnsi="Arial" w:cs="Arial"/>
                <w:b/>
                <w:sz w:val="20"/>
                <w:szCs w:val="20"/>
              </w:rPr>
            </w:pPr>
            <w:r w:rsidRPr="003234C5">
              <w:rPr>
                <w:rFonts w:ascii="Arial" w:hAnsi="Arial" w:cs="Arial"/>
                <w:b/>
                <w:sz w:val="20"/>
                <w:szCs w:val="20"/>
              </w:rPr>
              <w:t>Custo</w:t>
            </w:r>
          </w:p>
        </w:tc>
        <w:tc>
          <w:tcPr>
            <w:tcW w:w="1417" w:type="dxa"/>
            <w:shd w:val="clear" w:color="auto" w:fill="C0C0C0"/>
            <w:vAlign w:val="center"/>
          </w:tcPr>
          <w:p w14:paraId="24D1A0A3" w14:textId="77777777" w:rsidR="00200682" w:rsidRPr="003234C5" w:rsidRDefault="00200682" w:rsidP="00E84342">
            <w:pPr>
              <w:autoSpaceDE w:val="0"/>
              <w:autoSpaceDN w:val="0"/>
              <w:adjustRightInd w:val="0"/>
              <w:jc w:val="center"/>
              <w:rPr>
                <w:rFonts w:ascii="Arial" w:hAnsi="Arial" w:cs="Arial"/>
                <w:b/>
                <w:sz w:val="20"/>
                <w:szCs w:val="20"/>
              </w:rPr>
            </w:pPr>
            <w:r w:rsidRPr="003234C5">
              <w:rPr>
                <w:rFonts w:ascii="Arial" w:hAnsi="Arial" w:cs="Arial"/>
                <w:b/>
                <w:sz w:val="20"/>
                <w:szCs w:val="20"/>
              </w:rPr>
              <w:t>(-</w:t>
            </w:r>
            <w:proofErr w:type="gramStart"/>
            <w:r w:rsidRPr="003234C5">
              <w:rPr>
                <w:rFonts w:ascii="Arial" w:hAnsi="Arial" w:cs="Arial"/>
                <w:b/>
                <w:sz w:val="20"/>
                <w:szCs w:val="20"/>
              </w:rPr>
              <w:t>)  Amortização</w:t>
            </w:r>
            <w:proofErr w:type="gramEnd"/>
          </w:p>
        </w:tc>
        <w:tc>
          <w:tcPr>
            <w:tcW w:w="1418" w:type="dxa"/>
            <w:shd w:val="clear" w:color="auto" w:fill="C0C0C0"/>
            <w:vAlign w:val="center"/>
          </w:tcPr>
          <w:p w14:paraId="190C511A" w14:textId="77777777" w:rsidR="00200682" w:rsidRPr="003234C5" w:rsidRDefault="00200682" w:rsidP="00E84342">
            <w:pPr>
              <w:autoSpaceDE w:val="0"/>
              <w:autoSpaceDN w:val="0"/>
              <w:adjustRightInd w:val="0"/>
              <w:jc w:val="center"/>
              <w:rPr>
                <w:rFonts w:ascii="Arial" w:hAnsi="Arial" w:cs="Arial"/>
                <w:b/>
                <w:sz w:val="20"/>
                <w:szCs w:val="20"/>
              </w:rPr>
            </w:pPr>
            <w:r w:rsidRPr="003234C5">
              <w:rPr>
                <w:rFonts w:ascii="Arial" w:hAnsi="Arial" w:cs="Arial"/>
                <w:b/>
                <w:sz w:val="20"/>
                <w:szCs w:val="20"/>
              </w:rPr>
              <w:t>Líquido</w:t>
            </w:r>
          </w:p>
        </w:tc>
        <w:tc>
          <w:tcPr>
            <w:tcW w:w="1417" w:type="dxa"/>
            <w:vMerge/>
            <w:shd w:val="clear" w:color="auto" w:fill="C0C0C0"/>
            <w:vAlign w:val="center"/>
          </w:tcPr>
          <w:p w14:paraId="08901BA7" w14:textId="77777777" w:rsidR="00200682" w:rsidRPr="003234C5" w:rsidRDefault="00200682" w:rsidP="00E84342">
            <w:pPr>
              <w:autoSpaceDE w:val="0"/>
              <w:autoSpaceDN w:val="0"/>
              <w:adjustRightInd w:val="0"/>
              <w:jc w:val="both"/>
              <w:rPr>
                <w:rFonts w:ascii="Arial" w:hAnsi="Arial" w:cs="Arial"/>
                <w:sz w:val="20"/>
                <w:szCs w:val="20"/>
              </w:rPr>
            </w:pPr>
          </w:p>
        </w:tc>
      </w:tr>
      <w:tr w:rsidR="00335882" w:rsidRPr="003234C5" w14:paraId="11E5EF38" w14:textId="77777777" w:rsidTr="00D27171">
        <w:trPr>
          <w:cantSplit/>
          <w:trHeight w:hRule="exact" w:val="284"/>
          <w:jc w:val="center"/>
        </w:trPr>
        <w:tc>
          <w:tcPr>
            <w:tcW w:w="2689" w:type="dxa"/>
            <w:shd w:val="clear" w:color="auto" w:fill="FFFFFF"/>
            <w:vAlign w:val="center"/>
          </w:tcPr>
          <w:p w14:paraId="56206376" w14:textId="77777777" w:rsidR="00335882" w:rsidRPr="003234C5" w:rsidRDefault="00335882" w:rsidP="00335882">
            <w:pPr>
              <w:autoSpaceDE w:val="0"/>
              <w:autoSpaceDN w:val="0"/>
              <w:adjustRightInd w:val="0"/>
              <w:jc w:val="both"/>
              <w:rPr>
                <w:rFonts w:ascii="Arial" w:hAnsi="Arial" w:cs="Arial"/>
                <w:sz w:val="20"/>
                <w:szCs w:val="20"/>
              </w:rPr>
            </w:pPr>
            <w:bookmarkStart w:id="29" w:name="OLE_LINK6"/>
            <w:r w:rsidRPr="003234C5">
              <w:rPr>
                <w:rFonts w:ascii="Arial" w:hAnsi="Arial" w:cs="Arial"/>
                <w:sz w:val="20"/>
                <w:szCs w:val="20"/>
              </w:rPr>
              <w:t>Terrenos</w:t>
            </w:r>
          </w:p>
        </w:tc>
        <w:tc>
          <w:tcPr>
            <w:tcW w:w="708" w:type="dxa"/>
            <w:shd w:val="clear" w:color="auto" w:fill="FFFFFF"/>
            <w:vAlign w:val="center"/>
          </w:tcPr>
          <w:p w14:paraId="33949403"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1345111F" w14:textId="77777777" w:rsidR="0075054C" w:rsidRDefault="0075054C" w:rsidP="0075054C">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676</w:t>
            </w:r>
          </w:p>
          <w:p w14:paraId="4310B0FC" w14:textId="529A34EB" w:rsidR="0075054C" w:rsidRDefault="0075054C" w:rsidP="0075054C">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 xml:space="preserve">                      6762821 </w:t>
            </w:r>
          </w:p>
          <w:p w14:paraId="65FF1160" w14:textId="0776DB8B" w:rsidR="00335882" w:rsidRPr="003234C5" w:rsidRDefault="00335882" w:rsidP="00335882">
            <w:pPr>
              <w:jc w:val="right"/>
              <w:rPr>
                <w:rFonts w:ascii="Arial" w:hAnsi="Arial" w:cs="Arial"/>
                <w:sz w:val="20"/>
                <w:szCs w:val="20"/>
              </w:rPr>
            </w:pPr>
          </w:p>
        </w:tc>
        <w:tc>
          <w:tcPr>
            <w:tcW w:w="1417" w:type="dxa"/>
            <w:shd w:val="clear" w:color="auto" w:fill="FFFFFF"/>
          </w:tcPr>
          <w:p w14:paraId="054A8B5C" w14:textId="58418884" w:rsidR="00335882" w:rsidRPr="003234C5" w:rsidRDefault="00692982" w:rsidP="00335882">
            <w:pPr>
              <w:jc w:val="right"/>
              <w:rPr>
                <w:rFonts w:ascii="Arial" w:hAnsi="Arial" w:cs="Arial"/>
                <w:sz w:val="20"/>
                <w:szCs w:val="20"/>
              </w:rPr>
            </w:pPr>
            <w:r>
              <w:rPr>
                <w:rFonts w:ascii="Arial" w:hAnsi="Arial" w:cs="Arial"/>
                <w:sz w:val="20"/>
                <w:szCs w:val="20"/>
              </w:rPr>
              <w:t>(537)</w:t>
            </w:r>
          </w:p>
        </w:tc>
        <w:tc>
          <w:tcPr>
            <w:tcW w:w="1418" w:type="dxa"/>
            <w:shd w:val="clear" w:color="auto" w:fill="FFFFFF"/>
          </w:tcPr>
          <w:p w14:paraId="17D10916" w14:textId="69AFF7FD" w:rsidR="00335882" w:rsidRPr="003234C5" w:rsidRDefault="003B015D" w:rsidP="00335882">
            <w:pPr>
              <w:jc w:val="right"/>
              <w:rPr>
                <w:rFonts w:ascii="Arial" w:hAnsi="Arial" w:cs="Arial"/>
                <w:sz w:val="20"/>
                <w:szCs w:val="20"/>
              </w:rPr>
            </w:pPr>
            <w:r>
              <w:rPr>
                <w:rFonts w:ascii="Arial" w:hAnsi="Arial" w:cs="Arial"/>
                <w:sz w:val="20"/>
                <w:szCs w:val="20"/>
              </w:rPr>
              <w:t>139</w:t>
            </w:r>
          </w:p>
        </w:tc>
        <w:tc>
          <w:tcPr>
            <w:tcW w:w="1417" w:type="dxa"/>
            <w:shd w:val="clear" w:color="auto" w:fill="FFFFFF"/>
          </w:tcPr>
          <w:p w14:paraId="49566177" w14:textId="63823983"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205 </w:t>
            </w:r>
          </w:p>
        </w:tc>
      </w:tr>
      <w:tr w:rsidR="00335882" w:rsidRPr="003234C5" w14:paraId="6E531F40" w14:textId="77777777" w:rsidTr="00D27171">
        <w:trPr>
          <w:cantSplit/>
          <w:trHeight w:hRule="exact" w:val="284"/>
          <w:jc w:val="center"/>
        </w:trPr>
        <w:tc>
          <w:tcPr>
            <w:tcW w:w="2689" w:type="dxa"/>
            <w:shd w:val="clear" w:color="auto" w:fill="FFFFFF"/>
            <w:vAlign w:val="center"/>
          </w:tcPr>
          <w:p w14:paraId="3D16FAC8"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Edificações (Imóveis)</w:t>
            </w:r>
          </w:p>
        </w:tc>
        <w:tc>
          <w:tcPr>
            <w:tcW w:w="708" w:type="dxa"/>
            <w:shd w:val="clear" w:color="auto" w:fill="FFFFFF"/>
            <w:vAlign w:val="center"/>
          </w:tcPr>
          <w:p w14:paraId="359F906A"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10A89CE5" w14:textId="68B63D19" w:rsidR="00335882" w:rsidRPr="003234C5" w:rsidRDefault="0075054C" w:rsidP="00335882">
            <w:pPr>
              <w:jc w:val="right"/>
              <w:rPr>
                <w:rFonts w:ascii="Arial" w:hAnsi="Arial" w:cs="Arial"/>
                <w:sz w:val="20"/>
                <w:szCs w:val="20"/>
              </w:rPr>
            </w:pPr>
            <w:r>
              <w:rPr>
                <w:rFonts w:ascii="Arial" w:hAnsi="Arial" w:cs="Arial"/>
                <w:sz w:val="20"/>
                <w:szCs w:val="20"/>
              </w:rPr>
              <w:t>2.821</w:t>
            </w:r>
          </w:p>
        </w:tc>
        <w:tc>
          <w:tcPr>
            <w:tcW w:w="1417" w:type="dxa"/>
            <w:shd w:val="clear" w:color="auto" w:fill="FFFFFF"/>
          </w:tcPr>
          <w:p w14:paraId="2F97B3BE" w14:textId="5FDA3224" w:rsidR="00335882" w:rsidRPr="003234C5" w:rsidRDefault="00FC6767" w:rsidP="00335882">
            <w:pPr>
              <w:jc w:val="right"/>
              <w:rPr>
                <w:rFonts w:ascii="Arial" w:hAnsi="Arial" w:cs="Arial"/>
                <w:sz w:val="20"/>
                <w:szCs w:val="20"/>
              </w:rPr>
            </w:pPr>
            <w:r>
              <w:rPr>
                <w:rFonts w:ascii="Arial" w:hAnsi="Arial" w:cs="Arial"/>
                <w:sz w:val="20"/>
                <w:szCs w:val="20"/>
              </w:rPr>
              <w:t>(1.607)</w:t>
            </w:r>
          </w:p>
        </w:tc>
        <w:tc>
          <w:tcPr>
            <w:tcW w:w="1418" w:type="dxa"/>
            <w:shd w:val="clear" w:color="auto" w:fill="FFFFFF"/>
          </w:tcPr>
          <w:p w14:paraId="69D73C7D" w14:textId="3CFD1AA3" w:rsidR="00335882" w:rsidRPr="003234C5" w:rsidRDefault="003B015D" w:rsidP="00335882">
            <w:pPr>
              <w:jc w:val="right"/>
              <w:rPr>
                <w:rFonts w:ascii="Arial" w:hAnsi="Arial" w:cs="Arial"/>
                <w:sz w:val="20"/>
                <w:szCs w:val="20"/>
              </w:rPr>
            </w:pPr>
            <w:r>
              <w:rPr>
                <w:rFonts w:ascii="Arial" w:hAnsi="Arial" w:cs="Arial"/>
                <w:sz w:val="20"/>
                <w:szCs w:val="20"/>
              </w:rPr>
              <w:t>1.214</w:t>
            </w:r>
          </w:p>
        </w:tc>
        <w:tc>
          <w:tcPr>
            <w:tcW w:w="1417" w:type="dxa"/>
            <w:shd w:val="clear" w:color="auto" w:fill="FFFFFF"/>
          </w:tcPr>
          <w:p w14:paraId="013877A8" w14:textId="22A5D8F1"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1.496 </w:t>
            </w:r>
          </w:p>
        </w:tc>
      </w:tr>
      <w:tr w:rsidR="00335882" w:rsidRPr="003234C5" w14:paraId="0A573ADD" w14:textId="77777777" w:rsidTr="002F280D">
        <w:trPr>
          <w:cantSplit/>
          <w:trHeight w:hRule="exact" w:val="284"/>
          <w:jc w:val="center"/>
        </w:trPr>
        <w:tc>
          <w:tcPr>
            <w:tcW w:w="2689" w:type="dxa"/>
            <w:shd w:val="clear" w:color="auto" w:fill="FFFFFF"/>
            <w:vAlign w:val="center"/>
          </w:tcPr>
          <w:p w14:paraId="05E2D570"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Móveis e Utensílios</w:t>
            </w:r>
          </w:p>
        </w:tc>
        <w:tc>
          <w:tcPr>
            <w:tcW w:w="708" w:type="dxa"/>
            <w:shd w:val="clear" w:color="auto" w:fill="FFFFFF"/>
            <w:vAlign w:val="center"/>
          </w:tcPr>
          <w:p w14:paraId="6A22DA04"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2544D572" w14:textId="293DE3CA" w:rsidR="00335882" w:rsidRPr="003234C5" w:rsidRDefault="0075054C" w:rsidP="00335882">
            <w:pPr>
              <w:jc w:val="right"/>
              <w:rPr>
                <w:rFonts w:ascii="Arial" w:hAnsi="Arial" w:cs="Arial"/>
                <w:sz w:val="20"/>
                <w:szCs w:val="20"/>
              </w:rPr>
            </w:pPr>
            <w:r>
              <w:rPr>
                <w:rFonts w:ascii="Arial" w:hAnsi="Arial" w:cs="Arial"/>
                <w:sz w:val="20"/>
                <w:szCs w:val="20"/>
              </w:rPr>
              <w:t>2.614</w:t>
            </w:r>
          </w:p>
        </w:tc>
        <w:tc>
          <w:tcPr>
            <w:tcW w:w="1417" w:type="dxa"/>
            <w:shd w:val="clear" w:color="auto" w:fill="FFFFFF"/>
          </w:tcPr>
          <w:p w14:paraId="5CBD34E7" w14:textId="74B348FF" w:rsidR="00335882" w:rsidRPr="003234C5" w:rsidRDefault="002347F4" w:rsidP="00335882">
            <w:pPr>
              <w:jc w:val="right"/>
              <w:rPr>
                <w:rFonts w:ascii="Arial" w:hAnsi="Arial" w:cs="Arial"/>
                <w:sz w:val="20"/>
                <w:szCs w:val="20"/>
              </w:rPr>
            </w:pPr>
            <w:r>
              <w:rPr>
                <w:rFonts w:ascii="Arial" w:hAnsi="Arial" w:cs="Arial"/>
                <w:sz w:val="20"/>
                <w:szCs w:val="20"/>
              </w:rPr>
              <w:t>(976)</w:t>
            </w:r>
          </w:p>
        </w:tc>
        <w:tc>
          <w:tcPr>
            <w:tcW w:w="1418" w:type="dxa"/>
            <w:shd w:val="clear" w:color="auto" w:fill="FFFFFF"/>
          </w:tcPr>
          <w:p w14:paraId="61A36E7D" w14:textId="515B0214" w:rsidR="00335882" w:rsidRPr="003234C5" w:rsidRDefault="000A347B" w:rsidP="00335882">
            <w:pPr>
              <w:jc w:val="right"/>
              <w:rPr>
                <w:rFonts w:ascii="Arial" w:hAnsi="Arial" w:cs="Arial"/>
                <w:sz w:val="20"/>
                <w:szCs w:val="20"/>
              </w:rPr>
            </w:pPr>
            <w:r>
              <w:rPr>
                <w:rFonts w:ascii="Arial" w:hAnsi="Arial" w:cs="Arial"/>
                <w:sz w:val="20"/>
                <w:szCs w:val="20"/>
              </w:rPr>
              <w:t>1.638</w:t>
            </w:r>
          </w:p>
        </w:tc>
        <w:tc>
          <w:tcPr>
            <w:tcW w:w="1417" w:type="dxa"/>
            <w:shd w:val="clear" w:color="auto" w:fill="FFFFFF"/>
          </w:tcPr>
          <w:p w14:paraId="55D292D1" w14:textId="28B9F90D"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1.226 </w:t>
            </w:r>
          </w:p>
        </w:tc>
      </w:tr>
      <w:tr w:rsidR="00335882" w:rsidRPr="003234C5" w14:paraId="52D90141" w14:textId="77777777" w:rsidTr="002F280D">
        <w:trPr>
          <w:cantSplit/>
          <w:trHeight w:hRule="exact" w:val="284"/>
          <w:jc w:val="center"/>
        </w:trPr>
        <w:tc>
          <w:tcPr>
            <w:tcW w:w="2689" w:type="dxa"/>
            <w:shd w:val="clear" w:color="auto" w:fill="FFFFFF"/>
            <w:vAlign w:val="center"/>
          </w:tcPr>
          <w:p w14:paraId="4F79E915" w14:textId="02C4E7D0"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Veículo Téc. Administrativo</w:t>
            </w:r>
          </w:p>
        </w:tc>
        <w:tc>
          <w:tcPr>
            <w:tcW w:w="708" w:type="dxa"/>
            <w:shd w:val="clear" w:color="auto" w:fill="FFFFFF"/>
            <w:vAlign w:val="center"/>
          </w:tcPr>
          <w:p w14:paraId="12EF9855"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0CB3B638" w14:textId="1CB9B13C" w:rsidR="00335882" w:rsidRPr="003234C5" w:rsidRDefault="00D17EA6" w:rsidP="00335882">
            <w:pPr>
              <w:jc w:val="right"/>
              <w:rPr>
                <w:rFonts w:ascii="Arial" w:hAnsi="Arial" w:cs="Arial"/>
                <w:sz w:val="20"/>
                <w:szCs w:val="20"/>
              </w:rPr>
            </w:pPr>
            <w:r>
              <w:rPr>
                <w:rFonts w:ascii="Arial" w:hAnsi="Arial" w:cs="Arial"/>
                <w:sz w:val="20"/>
                <w:szCs w:val="20"/>
              </w:rPr>
              <w:t>1.544</w:t>
            </w:r>
          </w:p>
        </w:tc>
        <w:tc>
          <w:tcPr>
            <w:tcW w:w="1417" w:type="dxa"/>
            <w:shd w:val="clear" w:color="auto" w:fill="FFFFFF"/>
          </w:tcPr>
          <w:p w14:paraId="656244CE" w14:textId="1348C962" w:rsidR="00335882" w:rsidRPr="003234C5" w:rsidRDefault="00C2119B" w:rsidP="00335882">
            <w:pPr>
              <w:jc w:val="right"/>
              <w:rPr>
                <w:rFonts w:ascii="Arial" w:hAnsi="Arial" w:cs="Arial"/>
                <w:sz w:val="20"/>
                <w:szCs w:val="20"/>
              </w:rPr>
            </w:pPr>
            <w:r>
              <w:rPr>
                <w:rFonts w:ascii="Arial" w:hAnsi="Arial" w:cs="Arial"/>
                <w:sz w:val="20"/>
                <w:szCs w:val="20"/>
              </w:rPr>
              <w:t>(635)</w:t>
            </w:r>
          </w:p>
        </w:tc>
        <w:tc>
          <w:tcPr>
            <w:tcW w:w="1418" w:type="dxa"/>
            <w:shd w:val="clear" w:color="auto" w:fill="FFFFFF"/>
          </w:tcPr>
          <w:p w14:paraId="05F67119" w14:textId="73FD9D4B" w:rsidR="00335882" w:rsidRPr="003234C5" w:rsidRDefault="00C2119B" w:rsidP="00335882">
            <w:pPr>
              <w:jc w:val="right"/>
              <w:rPr>
                <w:rFonts w:ascii="Arial" w:hAnsi="Arial" w:cs="Arial"/>
                <w:sz w:val="20"/>
                <w:szCs w:val="20"/>
              </w:rPr>
            </w:pPr>
            <w:r>
              <w:rPr>
                <w:rFonts w:ascii="Arial" w:hAnsi="Arial" w:cs="Arial"/>
                <w:sz w:val="20"/>
                <w:szCs w:val="20"/>
              </w:rPr>
              <w:t>909</w:t>
            </w:r>
          </w:p>
        </w:tc>
        <w:tc>
          <w:tcPr>
            <w:tcW w:w="1417" w:type="dxa"/>
            <w:shd w:val="clear" w:color="auto" w:fill="FFFFFF"/>
          </w:tcPr>
          <w:p w14:paraId="5A5D92E3" w14:textId="1E021155"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638 </w:t>
            </w:r>
          </w:p>
        </w:tc>
      </w:tr>
      <w:tr w:rsidR="00335882" w:rsidRPr="003234C5" w14:paraId="5DCF3D32" w14:textId="77777777" w:rsidTr="002F280D">
        <w:trPr>
          <w:cantSplit/>
          <w:trHeight w:hRule="exact" w:val="284"/>
          <w:jc w:val="center"/>
        </w:trPr>
        <w:tc>
          <w:tcPr>
            <w:tcW w:w="2689" w:type="dxa"/>
            <w:shd w:val="clear" w:color="auto" w:fill="FFFFFF"/>
            <w:vAlign w:val="center"/>
          </w:tcPr>
          <w:p w14:paraId="6A11FEF1"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Veículo Diretoria</w:t>
            </w:r>
          </w:p>
        </w:tc>
        <w:tc>
          <w:tcPr>
            <w:tcW w:w="708" w:type="dxa"/>
            <w:shd w:val="clear" w:color="auto" w:fill="FFFFFF"/>
            <w:vAlign w:val="center"/>
          </w:tcPr>
          <w:p w14:paraId="4F6E45B5"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547508A5" w14:textId="09CD0AFE" w:rsidR="00335882" w:rsidRPr="003234C5" w:rsidRDefault="004138F3" w:rsidP="00335882">
            <w:pPr>
              <w:jc w:val="right"/>
              <w:rPr>
                <w:rFonts w:ascii="Arial" w:hAnsi="Arial" w:cs="Arial"/>
                <w:sz w:val="20"/>
                <w:szCs w:val="20"/>
              </w:rPr>
            </w:pPr>
            <w:r>
              <w:rPr>
                <w:rFonts w:ascii="Arial" w:hAnsi="Arial" w:cs="Arial"/>
                <w:sz w:val="20"/>
                <w:szCs w:val="20"/>
              </w:rPr>
              <w:t>111</w:t>
            </w:r>
          </w:p>
        </w:tc>
        <w:tc>
          <w:tcPr>
            <w:tcW w:w="1417" w:type="dxa"/>
            <w:shd w:val="clear" w:color="auto" w:fill="FFFFFF"/>
          </w:tcPr>
          <w:p w14:paraId="28D97E41" w14:textId="259A52F5" w:rsidR="00335882" w:rsidRPr="003234C5" w:rsidRDefault="00257111" w:rsidP="00335882">
            <w:pPr>
              <w:jc w:val="right"/>
              <w:rPr>
                <w:rFonts w:ascii="Arial" w:hAnsi="Arial" w:cs="Arial"/>
                <w:sz w:val="20"/>
                <w:szCs w:val="20"/>
              </w:rPr>
            </w:pPr>
            <w:r>
              <w:rPr>
                <w:rFonts w:ascii="Arial" w:hAnsi="Arial" w:cs="Arial"/>
                <w:sz w:val="20"/>
                <w:szCs w:val="20"/>
              </w:rPr>
              <w:t>(106)</w:t>
            </w:r>
          </w:p>
        </w:tc>
        <w:tc>
          <w:tcPr>
            <w:tcW w:w="1418" w:type="dxa"/>
            <w:shd w:val="clear" w:color="auto" w:fill="FFFFFF"/>
          </w:tcPr>
          <w:p w14:paraId="3ACD5510" w14:textId="2C6D572C" w:rsidR="00335882" w:rsidRPr="003234C5" w:rsidRDefault="00257111" w:rsidP="00335882">
            <w:pPr>
              <w:jc w:val="right"/>
              <w:rPr>
                <w:rFonts w:ascii="Arial" w:hAnsi="Arial" w:cs="Arial"/>
                <w:sz w:val="20"/>
                <w:szCs w:val="20"/>
              </w:rPr>
            </w:pPr>
            <w:r>
              <w:rPr>
                <w:rFonts w:ascii="Arial" w:hAnsi="Arial" w:cs="Arial"/>
                <w:sz w:val="20"/>
                <w:szCs w:val="20"/>
              </w:rPr>
              <w:t>5</w:t>
            </w:r>
          </w:p>
        </w:tc>
        <w:tc>
          <w:tcPr>
            <w:tcW w:w="1417" w:type="dxa"/>
            <w:shd w:val="clear" w:color="auto" w:fill="FFFFFF"/>
          </w:tcPr>
          <w:p w14:paraId="72450B4B" w14:textId="2952079E"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23 </w:t>
            </w:r>
          </w:p>
        </w:tc>
      </w:tr>
      <w:tr w:rsidR="00335882" w:rsidRPr="003234C5" w14:paraId="0DCC0119" w14:textId="77777777" w:rsidTr="002F280D">
        <w:trPr>
          <w:cantSplit/>
          <w:trHeight w:hRule="exact" w:val="284"/>
          <w:jc w:val="center"/>
        </w:trPr>
        <w:tc>
          <w:tcPr>
            <w:tcW w:w="2689" w:type="dxa"/>
            <w:shd w:val="clear" w:color="auto" w:fill="FFFFFF"/>
            <w:vAlign w:val="center"/>
          </w:tcPr>
          <w:p w14:paraId="726B983A"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Veículos Trans. de Gás</w:t>
            </w:r>
          </w:p>
        </w:tc>
        <w:tc>
          <w:tcPr>
            <w:tcW w:w="708" w:type="dxa"/>
            <w:shd w:val="clear" w:color="auto" w:fill="FFFFFF"/>
            <w:vAlign w:val="center"/>
          </w:tcPr>
          <w:p w14:paraId="24BBECF2"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587DCDC3" w14:textId="2BAE71C1" w:rsidR="00335882" w:rsidRPr="003234C5" w:rsidRDefault="004138F3" w:rsidP="00335882">
            <w:pPr>
              <w:jc w:val="right"/>
              <w:rPr>
                <w:rFonts w:ascii="Arial" w:hAnsi="Arial" w:cs="Arial"/>
                <w:sz w:val="20"/>
                <w:szCs w:val="20"/>
              </w:rPr>
            </w:pPr>
            <w:r>
              <w:rPr>
                <w:rFonts w:ascii="Arial" w:hAnsi="Arial" w:cs="Arial"/>
                <w:sz w:val="20"/>
                <w:szCs w:val="20"/>
              </w:rPr>
              <w:t>577</w:t>
            </w:r>
          </w:p>
        </w:tc>
        <w:tc>
          <w:tcPr>
            <w:tcW w:w="1417" w:type="dxa"/>
            <w:shd w:val="clear" w:color="auto" w:fill="FFFFFF"/>
          </w:tcPr>
          <w:p w14:paraId="6D4BA77A" w14:textId="65561692" w:rsidR="00335882" w:rsidRPr="003234C5" w:rsidRDefault="0073016D" w:rsidP="00335882">
            <w:pPr>
              <w:jc w:val="right"/>
              <w:rPr>
                <w:rFonts w:ascii="Arial" w:hAnsi="Arial" w:cs="Arial"/>
                <w:sz w:val="20"/>
                <w:szCs w:val="20"/>
              </w:rPr>
            </w:pPr>
            <w:r>
              <w:rPr>
                <w:rFonts w:ascii="Arial" w:hAnsi="Arial" w:cs="Arial"/>
                <w:sz w:val="20"/>
                <w:szCs w:val="20"/>
              </w:rPr>
              <w:t>(577)</w:t>
            </w:r>
          </w:p>
        </w:tc>
        <w:tc>
          <w:tcPr>
            <w:tcW w:w="1418" w:type="dxa"/>
            <w:shd w:val="clear" w:color="auto" w:fill="FFFFFF"/>
          </w:tcPr>
          <w:p w14:paraId="0A64D3E8" w14:textId="32ACC265" w:rsidR="00335882" w:rsidRPr="003234C5" w:rsidRDefault="0073016D" w:rsidP="00335882">
            <w:pPr>
              <w:jc w:val="right"/>
              <w:rPr>
                <w:rFonts w:ascii="Arial" w:hAnsi="Arial" w:cs="Arial"/>
                <w:sz w:val="20"/>
                <w:szCs w:val="20"/>
              </w:rPr>
            </w:pPr>
            <w:r>
              <w:rPr>
                <w:rFonts w:ascii="Arial" w:hAnsi="Arial" w:cs="Arial"/>
                <w:sz w:val="20"/>
                <w:szCs w:val="20"/>
              </w:rPr>
              <w:t>-</w:t>
            </w:r>
          </w:p>
        </w:tc>
        <w:tc>
          <w:tcPr>
            <w:tcW w:w="1417" w:type="dxa"/>
            <w:shd w:val="clear" w:color="auto" w:fill="FFFFFF"/>
          </w:tcPr>
          <w:p w14:paraId="59222400" w14:textId="784C9A3C"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   </w:t>
            </w:r>
          </w:p>
        </w:tc>
      </w:tr>
      <w:tr w:rsidR="00335882" w:rsidRPr="003234C5" w14:paraId="1F4CA248" w14:textId="77777777" w:rsidTr="002F280D">
        <w:trPr>
          <w:cantSplit/>
          <w:trHeight w:hRule="exact" w:val="284"/>
          <w:jc w:val="center"/>
        </w:trPr>
        <w:tc>
          <w:tcPr>
            <w:tcW w:w="2689" w:type="dxa"/>
            <w:shd w:val="clear" w:color="auto" w:fill="FFFFFF"/>
            <w:vAlign w:val="center"/>
          </w:tcPr>
          <w:p w14:paraId="6652E18A" w14:textId="4FD3BF97" w:rsidR="00335882" w:rsidRPr="003234C5" w:rsidRDefault="00335882" w:rsidP="00335882">
            <w:pPr>
              <w:autoSpaceDE w:val="0"/>
              <w:autoSpaceDN w:val="0"/>
              <w:adjustRightInd w:val="0"/>
              <w:rPr>
                <w:rFonts w:ascii="Arial" w:hAnsi="Arial" w:cs="Arial"/>
                <w:sz w:val="20"/>
                <w:szCs w:val="20"/>
              </w:rPr>
            </w:pPr>
            <w:proofErr w:type="spellStart"/>
            <w:r w:rsidRPr="003234C5">
              <w:rPr>
                <w:rFonts w:ascii="Arial" w:hAnsi="Arial" w:cs="Arial"/>
                <w:sz w:val="20"/>
                <w:szCs w:val="20"/>
              </w:rPr>
              <w:t>Equip</w:t>
            </w:r>
            <w:proofErr w:type="spellEnd"/>
            <w:r w:rsidRPr="003234C5">
              <w:rPr>
                <w:rFonts w:ascii="Arial" w:hAnsi="Arial" w:cs="Arial"/>
                <w:sz w:val="20"/>
                <w:szCs w:val="20"/>
              </w:rPr>
              <w:t xml:space="preserve">. de </w:t>
            </w:r>
            <w:proofErr w:type="spellStart"/>
            <w:r w:rsidRPr="003234C5">
              <w:rPr>
                <w:rFonts w:ascii="Arial" w:hAnsi="Arial" w:cs="Arial"/>
                <w:sz w:val="20"/>
                <w:szCs w:val="20"/>
              </w:rPr>
              <w:t>Process</w:t>
            </w:r>
            <w:proofErr w:type="spellEnd"/>
            <w:r w:rsidRPr="003234C5">
              <w:rPr>
                <w:rFonts w:ascii="Arial" w:hAnsi="Arial" w:cs="Arial"/>
                <w:sz w:val="20"/>
                <w:szCs w:val="20"/>
              </w:rPr>
              <w:t>.</w:t>
            </w:r>
          </w:p>
        </w:tc>
        <w:tc>
          <w:tcPr>
            <w:tcW w:w="708" w:type="dxa"/>
            <w:shd w:val="clear" w:color="auto" w:fill="FFFFFF"/>
            <w:vAlign w:val="center"/>
          </w:tcPr>
          <w:p w14:paraId="14A35396"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58CA5CE9" w14:textId="6439A3B2" w:rsidR="00335882" w:rsidRPr="003234C5" w:rsidRDefault="004138F3" w:rsidP="00335882">
            <w:pPr>
              <w:jc w:val="right"/>
              <w:rPr>
                <w:rFonts w:ascii="Arial" w:hAnsi="Arial" w:cs="Arial"/>
                <w:sz w:val="20"/>
                <w:szCs w:val="20"/>
              </w:rPr>
            </w:pPr>
            <w:r>
              <w:rPr>
                <w:rFonts w:ascii="Arial" w:hAnsi="Arial" w:cs="Arial"/>
                <w:sz w:val="20"/>
                <w:szCs w:val="20"/>
              </w:rPr>
              <w:t>2.190</w:t>
            </w:r>
          </w:p>
        </w:tc>
        <w:tc>
          <w:tcPr>
            <w:tcW w:w="1417" w:type="dxa"/>
            <w:shd w:val="clear" w:color="auto" w:fill="FFFFFF"/>
          </w:tcPr>
          <w:p w14:paraId="665B320E" w14:textId="785B5237" w:rsidR="00335882" w:rsidRPr="003234C5" w:rsidRDefault="0010536B" w:rsidP="00335882">
            <w:pPr>
              <w:jc w:val="right"/>
              <w:rPr>
                <w:rFonts w:ascii="Arial" w:hAnsi="Arial" w:cs="Arial"/>
                <w:sz w:val="20"/>
                <w:szCs w:val="20"/>
              </w:rPr>
            </w:pPr>
            <w:r>
              <w:rPr>
                <w:rFonts w:ascii="Arial" w:hAnsi="Arial" w:cs="Arial"/>
                <w:sz w:val="20"/>
                <w:szCs w:val="20"/>
              </w:rPr>
              <w:t>(1.255)</w:t>
            </w:r>
          </w:p>
        </w:tc>
        <w:tc>
          <w:tcPr>
            <w:tcW w:w="1418" w:type="dxa"/>
            <w:shd w:val="clear" w:color="auto" w:fill="FFFFFF"/>
          </w:tcPr>
          <w:p w14:paraId="539C3401" w14:textId="682B9BBE" w:rsidR="00335882" w:rsidRPr="003234C5" w:rsidRDefault="009520A5" w:rsidP="00335882">
            <w:pPr>
              <w:jc w:val="right"/>
              <w:rPr>
                <w:rFonts w:ascii="Arial" w:hAnsi="Arial" w:cs="Arial"/>
                <w:sz w:val="20"/>
                <w:szCs w:val="20"/>
              </w:rPr>
            </w:pPr>
            <w:r>
              <w:rPr>
                <w:rFonts w:ascii="Arial" w:hAnsi="Arial" w:cs="Arial"/>
                <w:sz w:val="20"/>
                <w:szCs w:val="20"/>
              </w:rPr>
              <w:t>935</w:t>
            </w:r>
          </w:p>
        </w:tc>
        <w:tc>
          <w:tcPr>
            <w:tcW w:w="1417" w:type="dxa"/>
            <w:shd w:val="clear" w:color="auto" w:fill="FFFFFF"/>
          </w:tcPr>
          <w:p w14:paraId="2A83D9F0" w14:textId="76ADA641"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1.079 </w:t>
            </w:r>
          </w:p>
        </w:tc>
      </w:tr>
      <w:tr w:rsidR="00335882" w:rsidRPr="003234C5" w14:paraId="127ECF3C" w14:textId="77777777" w:rsidTr="002F280D">
        <w:trPr>
          <w:cantSplit/>
          <w:trHeight w:hRule="exact" w:val="284"/>
          <w:jc w:val="center"/>
        </w:trPr>
        <w:tc>
          <w:tcPr>
            <w:tcW w:w="2689" w:type="dxa"/>
            <w:shd w:val="clear" w:color="auto" w:fill="FFFFFF"/>
            <w:vAlign w:val="center"/>
          </w:tcPr>
          <w:p w14:paraId="59FA72AE"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Rede de Distribuição</w:t>
            </w:r>
          </w:p>
        </w:tc>
        <w:tc>
          <w:tcPr>
            <w:tcW w:w="708" w:type="dxa"/>
            <w:shd w:val="clear" w:color="auto" w:fill="FFFFFF"/>
            <w:vAlign w:val="center"/>
          </w:tcPr>
          <w:p w14:paraId="780E64D5"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5B3F4799" w14:textId="6A6E4EAF" w:rsidR="00335882" w:rsidRPr="003234C5" w:rsidRDefault="00FE460F" w:rsidP="00335882">
            <w:pPr>
              <w:jc w:val="right"/>
              <w:rPr>
                <w:rFonts w:ascii="Arial" w:hAnsi="Arial" w:cs="Arial"/>
                <w:sz w:val="20"/>
                <w:szCs w:val="20"/>
              </w:rPr>
            </w:pPr>
            <w:r>
              <w:rPr>
                <w:rFonts w:ascii="Arial" w:hAnsi="Arial" w:cs="Arial"/>
                <w:sz w:val="20"/>
                <w:szCs w:val="20"/>
              </w:rPr>
              <w:t>174.129</w:t>
            </w:r>
          </w:p>
        </w:tc>
        <w:tc>
          <w:tcPr>
            <w:tcW w:w="1417" w:type="dxa"/>
            <w:shd w:val="clear" w:color="auto" w:fill="FFFFFF"/>
          </w:tcPr>
          <w:p w14:paraId="25AA9B1D" w14:textId="21C78A89" w:rsidR="00335882" w:rsidRPr="003234C5" w:rsidRDefault="00AC24E1" w:rsidP="00335882">
            <w:pPr>
              <w:jc w:val="right"/>
              <w:rPr>
                <w:rFonts w:ascii="Arial" w:hAnsi="Arial" w:cs="Arial"/>
                <w:sz w:val="20"/>
                <w:szCs w:val="20"/>
              </w:rPr>
            </w:pPr>
            <w:r>
              <w:rPr>
                <w:rFonts w:ascii="Arial" w:hAnsi="Arial" w:cs="Arial"/>
                <w:sz w:val="20"/>
                <w:szCs w:val="20"/>
              </w:rPr>
              <w:t>(90.131)</w:t>
            </w:r>
          </w:p>
        </w:tc>
        <w:tc>
          <w:tcPr>
            <w:tcW w:w="1418" w:type="dxa"/>
            <w:shd w:val="clear" w:color="auto" w:fill="FFFFFF"/>
          </w:tcPr>
          <w:p w14:paraId="1D0D7BE8" w14:textId="239306E3" w:rsidR="00335882" w:rsidRPr="003234C5" w:rsidRDefault="004A6B3F" w:rsidP="00335882">
            <w:pPr>
              <w:jc w:val="right"/>
              <w:rPr>
                <w:rFonts w:ascii="Arial" w:hAnsi="Arial" w:cs="Arial"/>
                <w:sz w:val="20"/>
                <w:szCs w:val="20"/>
              </w:rPr>
            </w:pPr>
            <w:r>
              <w:rPr>
                <w:rFonts w:ascii="Arial" w:hAnsi="Arial" w:cs="Arial"/>
                <w:sz w:val="20"/>
                <w:szCs w:val="20"/>
              </w:rPr>
              <w:t>83.998</w:t>
            </w:r>
          </w:p>
        </w:tc>
        <w:tc>
          <w:tcPr>
            <w:tcW w:w="1417" w:type="dxa"/>
            <w:shd w:val="clear" w:color="auto" w:fill="FFFFFF"/>
          </w:tcPr>
          <w:p w14:paraId="29573AFD" w14:textId="74A7D80B"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93.889 </w:t>
            </w:r>
          </w:p>
        </w:tc>
      </w:tr>
      <w:tr w:rsidR="00335882" w:rsidRPr="003234C5" w14:paraId="1FFA31D9" w14:textId="77777777" w:rsidTr="002F280D">
        <w:trPr>
          <w:cantSplit/>
          <w:trHeight w:hRule="exact" w:val="284"/>
          <w:jc w:val="center"/>
        </w:trPr>
        <w:tc>
          <w:tcPr>
            <w:tcW w:w="2689" w:type="dxa"/>
            <w:shd w:val="clear" w:color="auto" w:fill="FFFFFF"/>
            <w:vAlign w:val="center"/>
          </w:tcPr>
          <w:p w14:paraId="25E0E3AD" w14:textId="21066E1E"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M</w:t>
            </w:r>
            <w:r w:rsidR="00614113">
              <w:rPr>
                <w:rFonts w:ascii="Arial" w:hAnsi="Arial" w:cs="Arial"/>
                <w:sz w:val="20"/>
                <w:szCs w:val="20"/>
              </w:rPr>
              <w:t>á</w:t>
            </w:r>
            <w:r w:rsidRPr="003234C5">
              <w:rPr>
                <w:rFonts w:ascii="Arial" w:hAnsi="Arial" w:cs="Arial"/>
                <w:sz w:val="20"/>
                <w:szCs w:val="20"/>
              </w:rPr>
              <w:t xml:space="preserve">quinas e </w:t>
            </w:r>
            <w:proofErr w:type="spellStart"/>
            <w:r w:rsidRPr="003234C5">
              <w:rPr>
                <w:rFonts w:ascii="Arial" w:hAnsi="Arial" w:cs="Arial"/>
                <w:sz w:val="20"/>
                <w:szCs w:val="20"/>
              </w:rPr>
              <w:t>Equip</w:t>
            </w:r>
            <w:proofErr w:type="spellEnd"/>
            <w:r w:rsidRPr="003234C5">
              <w:rPr>
                <w:rFonts w:ascii="Arial" w:hAnsi="Arial" w:cs="Arial"/>
                <w:sz w:val="20"/>
                <w:szCs w:val="20"/>
              </w:rPr>
              <w:t>.</w:t>
            </w:r>
          </w:p>
        </w:tc>
        <w:tc>
          <w:tcPr>
            <w:tcW w:w="708" w:type="dxa"/>
            <w:shd w:val="clear" w:color="auto" w:fill="FFFFFF"/>
            <w:vAlign w:val="center"/>
          </w:tcPr>
          <w:p w14:paraId="3F8B2423"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57F626B5" w14:textId="73EF67B0" w:rsidR="00335882" w:rsidRPr="003234C5" w:rsidRDefault="00F80153" w:rsidP="00335882">
            <w:pPr>
              <w:jc w:val="right"/>
              <w:rPr>
                <w:rFonts w:ascii="Arial" w:hAnsi="Arial" w:cs="Arial"/>
                <w:sz w:val="20"/>
                <w:szCs w:val="20"/>
              </w:rPr>
            </w:pPr>
            <w:r>
              <w:rPr>
                <w:rFonts w:ascii="Arial" w:hAnsi="Arial" w:cs="Arial"/>
                <w:sz w:val="20"/>
                <w:szCs w:val="20"/>
              </w:rPr>
              <w:t>4.591</w:t>
            </w:r>
          </w:p>
        </w:tc>
        <w:tc>
          <w:tcPr>
            <w:tcW w:w="1417" w:type="dxa"/>
            <w:shd w:val="clear" w:color="auto" w:fill="FFFFFF"/>
          </w:tcPr>
          <w:p w14:paraId="1937DF59" w14:textId="5D242D75" w:rsidR="00335882" w:rsidRPr="003234C5" w:rsidRDefault="003019C8" w:rsidP="00335882">
            <w:pPr>
              <w:jc w:val="right"/>
              <w:rPr>
                <w:rFonts w:ascii="Arial" w:hAnsi="Arial" w:cs="Arial"/>
                <w:sz w:val="20"/>
                <w:szCs w:val="20"/>
              </w:rPr>
            </w:pPr>
            <w:r>
              <w:rPr>
                <w:rFonts w:ascii="Arial" w:hAnsi="Arial" w:cs="Arial"/>
                <w:sz w:val="20"/>
                <w:szCs w:val="20"/>
              </w:rPr>
              <w:t>(2.026)</w:t>
            </w:r>
          </w:p>
        </w:tc>
        <w:tc>
          <w:tcPr>
            <w:tcW w:w="1418" w:type="dxa"/>
            <w:shd w:val="clear" w:color="auto" w:fill="FFFFFF"/>
          </w:tcPr>
          <w:p w14:paraId="0F801AE6" w14:textId="463CB073" w:rsidR="00335882" w:rsidRPr="003234C5" w:rsidRDefault="004A2035" w:rsidP="00335882">
            <w:pPr>
              <w:jc w:val="right"/>
              <w:rPr>
                <w:rFonts w:ascii="Arial" w:hAnsi="Arial" w:cs="Arial"/>
                <w:sz w:val="20"/>
                <w:szCs w:val="20"/>
              </w:rPr>
            </w:pPr>
            <w:r>
              <w:rPr>
                <w:rFonts w:ascii="Arial" w:hAnsi="Arial" w:cs="Arial"/>
                <w:sz w:val="20"/>
                <w:szCs w:val="20"/>
              </w:rPr>
              <w:t>2.565</w:t>
            </w:r>
          </w:p>
        </w:tc>
        <w:tc>
          <w:tcPr>
            <w:tcW w:w="1417" w:type="dxa"/>
            <w:shd w:val="clear" w:color="auto" w:fill="FFFFFF"/>
          </w:tcPr>
          <w:p w14:paraId="40949A8F" w14:textId="4DFC92F8"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2.416 </w:t>
            </w:r>
          </w:p>
        </w:tc>
      </w:tr>
      <w:tr w:rsidR="00335882" w:rsidRPr="003234C5" w14:paraId="5BCEA720" w14:textId="77777777" w:rsidTr="002F280D">
        <w:trPr>
          <w:cantSplit/>
          <w:trHeight w:hRule="exact" w:val="284"/>
          <w:jc w:val="center"/>
        </w:trPr>
        <w:tc>
          <w:tcPr>
            <w:tcW w:w="2689" w:type="dxa"/>
            <w:shd w:val="clear" w:color="auto" w:fill="FFFFFF"/>
            <w:vAlign w:val="center"/>
          </w:tcPr>
          <w:p w14:paraId="5C5719C3"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Benfeitoria em Imóveis</w:t>
            </w:r>
          </w:p>
        </w:tc>
        <w:tc>
          <w:tcPr>
            <w:tcW w:w="708" w:type="dxa"/>
            <w:shd w:val="clear" w:color="auto" w:fill="FFFFFF"/>
            <w:vAlign w:val="center"/>
          </w:tcPr>
          <w:p w14:paraId="14843611"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2F1AF70E" w14:textId="30F5DECB" w:rsidR="00335882" w:rsidRPr="003234C5" w:rsidRDefault="00F80153" w:rsidP="00335882">
            <w:pPr>
              <w:jc w:val="right"/>
              <w:rPr>
                <w:rFonts w:ascii="Arial" w:hAnsi="Arial" w:cs="Arial"/>
                <w:sz w:val="20"/>
                <w:szCs w:val="20"/>
              </w:rPr>
            </w:pPr>
            <w:r>
              <w:rPr>
                <w:rFonts w:ascii="Arial" w:hAnsi="Arial" w:cs="Arial"/>
                <w:sz w:val="20"/>
                <w:szCs w:val="20"/>
              </w:rPr>
              <w:t>531</w:t>
            </w:r>
          </w:p>
        </w:tc>
        <w:tc>
          <w:tcPr>
            <w:tcW w:w="1417" w:type="dxa"/>
            <w:shd w:val="clear" w:color="auto" w:fill="FFFFFF"/>
          </w:tcPr>
          <w:p w14:paraId="38849580" w14:textId="63063633" w:rsidR="00335882" w:rsidRPr="003234C5" w:rsidRDefault="004A2035" w:rsidP="00335882">
            <w:pPr>
              <w:jc w:val="right"/>
              <w:rPr>
                <w:rFonts w:ascii="Arial" w:hAnsi="Arial" w:cs="Arial"/>
                <w:sz w:val="20"/>
                <w:szCs w:val="20"/>
              </w:rPr>
            </w:pPr>
            <w:r>
              <w:rPr>
                <w:rFonts w:ascii="Arial" w:hAnsi="Arial" w:cs="Arial"/>
                <w:sz w:val="20"/>
                <w:szCs w:val="20"/>
              </w:rPr>
              <w:t>(191)</w:t>
            </w:r>
          </w:p>
        </w:tc>
        <w:tc>
          <w:tcPr>
            <w:tcW w:w="1418" w:type="dxa"/>
            <w:shd w:val="clear" w:color="auto" w:fill="FFFFFF"/>
          </w:tcPr>
          <w:p w14:paraId="516818EE" w14:textId="451563BA" w:rsidR="00335882" w:rsidRPr="003234C5" w:rsidRDefault="004A2035" w:rsidP="00335882">
            <w:pPr>
              <w:jc w:val="right"/>
              <w:rPr>
                <w:rFonts w:ascii="Arial" w:hAnsi="Arial" w:cs="Arial"/>
                <w:sz w:val="20"/>
                <w:szCs w:val="20"/>
              </w:rPr>
            </w:pPr>
            <w:r>
              <w:rPr>
                <w:rFonts w:ascii="Arial" w:hAnsi="Arial" w:cs="Arial"/>
                <w:sz w:val="20"/>
                <w:szCs w:val="20"/>
              </w:rPr>
              <w:t>340</w:t>
            </w:r>
          </w:p>
        </w:tc>
        <w:tc>
          <w:tcPr>
            <w:tcW w:w="1417" w:type="dxa"/>
            <w:shd w:val="clear" w:color="auto" w:fill="FFFFFF"/>
          </w:tcPr>
          <w:p w14:paraId="21913C9A" w14:textId="1B859484"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289 </w:t>
            </w:r>
          </w:p>
        </w:tc>
      </w:tr>
      <w:tr w:rsidR="00335882" w:rsidRPr="003234C5" w14:paraId="1D0813D3" w14:textId="77777777" w:rsidTr="002F280D">
        <w:trPr>
          <w:cantSplit/>
          <w:trHeight w:hRule="exact" w:val="284"/>
          <w:jc w:val="center"/>
        </w:trPr>
        <w:tc>
          <w:tcPr>
            <w:tcW w:w="2689" w:type="dxa"/>
            <w:shd w:val="clear" w:color="auto" w:fill="FFFFFF"/>
          </w:tcPr>
          <w:p w14:paraId="21EE65E5" w14:textId="77777777" w:rsidR="00335882" w:rsidRPr="003234C5" w:rsidRDefault="00335882" w:rsidP="00335882">
            <w:pPr>
              <w:jc w:val="both"/>
              <w:rPr>
                <w:rFonts w:ascii="Arial" w:hAnsi="Arial" w:cs="Arial"/>
                <w:sz w:val="20"/>
                <w:szCs w:val="20"/>
              </w:rPr>
            </w:pPr>
            <w:r w:rsidRPr="003234C5">
              <w:rPr>
                <w:rFonts w:ascii="Arial" w:hAnsi="Arial" w:cs="Arial"/>
                <w:sz w:val="20"/>
                <w:szCs w:val="20"/>
              </w:rPr>
              <w:t xml:space="preserve">Softwares </w:t>
            </w:r>
          </w:p>
        </w:tc>
        <w:tc>
          <w:tcPr>
            <w:tcW w:w="708" w:type="dxa"/>
            <w:shd w:val="clear" w:color="auto" w:fill="FFFFFF"/>
          </w:tcPr>
          <w:p w14:paraId="51C7D1EA" w14:textId="77777777" w:rsidR="00335882" w:rsidRPr="003234C5" w:rsidRDefault="00335882" w:rsidP="00335882">
            <w:pPr>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79CCE209" w14:textId="0A7B16D0" w:rsidR="00335882" w:rsidRPr="003234C5" w:rsidRDefault="002C3D5B" w:rsidP="00335882">
            <w:pPr>
              <w:jc w:val="right"/>
              <w:rPr>
                <w:rFonts w:ascii="Arial" w:hAnsi="Arial" w:cs="Arial"/>
                <w:sz w:val="20"/>
                <w:szCs w:val="20"/>
              </w:rPr>
            </w:pPr>
            <w:r>
              <w:rPr>
                <w:rFonts w:ascii="Arial" w:hAnsi="Arial" w:cs="Arial"/>
                <w:sz w:val="20"/>
                <w:szCs w:val="20"/>
              </w:rPr>
              <w:t>10.257</w:t>
            </w:r>
          </w:p>
        </w:tc>
        <w:tc>
          <w:tcPr>
            <w:tcW w:w="1417" w:type="dxa"/>
            <w:shd w:val="clear" w:color="auto" w:fill="FFFFFF"/>
          </w:tcPr>
          <w:p w14:paraId="44085FEA" w14:textId="5337D6EF" w:rsidR="00335882" w:rsidRPr="003234C5" w:rsidRDefault="00631792" w:rsidP="00335882">
            <w:pPr>
              <w:jc w:val="right"/>
              <w:rPr>
                <w:rFonts w:ascii="Arial" w:hAnsi="Arial" w:cs="Arial"/>
                <w:sz w:val="20"/>
                <w:szCs w:val="20"/>
              </w:rPr>
            </w:pPr>
            <w:r>
              <w:rPr>
                <w:rFonts w:ascii="Arial" w:hAnsi="Arial" w:cs="Arial"/>
                <w:sz w:val="20"/>
                <w:szCs w:val="20"/>
              </w:rPr>
              <w:t>(5.052)</w:t>
            </w:r>
          </w:p>
        </w:tc>
        <w:tc>
          <w:tcPr>
            <w:tcW w:w="1418" w:type="dxa"/>
            <w:shd w:val="clear" w:color="auto" w:fill="FFFFFF"/>
          </w:tcPr>
          <w:p w14:paraId="10547C89" w14:textId="470D2C0B" w:rsidR="00335882" w:rsidRPr="003234C5" w:rsidRDefault="00631792" w:rsidP="00335882">
            <w:pPr>
              <w:jc w:val="right"/>
              <w:rPr>
                <w:rFonts w:ascii="Arial" w:hAnsi="Arial" w:cs="Arial"/>
                <w:sz w:val="20"/>
                <w:szCs w:val="20"/>
              </w:rPr>
            </w:pPr>
            <w:r>
              <w:rPr>
                <w:rFonts w:ascii="Arial" w:hAnsi="Arial" w:cs="Arial"/>
                <w:sz w:val="20"/>
                <w:szCs w:val="20"/>
              </w:rPr>
              <w:t>5.205</w:t>
            </w:r>
          </w:p>
        </w:tc>
        <w:tc>
          <w:tcPr>
            <w:tcW w:w="1417" w:type="dxa"/>
            <w:shd w:val="clear" w:color="auto" w:fill="FFFFFF"/>
          </w:tcPr>
          <w:p w14:paraId="143A5629" w14:textId="759002BD"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5.516 </w:t>
            </w:r>
          </w:p>
        </w:tc>
      </w:tr>
      <w:tr w:rsidR="00335882" w:rsidRPr="003234C5" w14:paraId="5DBBC7D2" w14:textId="77777777" w:rsidTr="002F280D">
        <w:trPr>
          <w:cantSplit/>
          <w:trHeight w:hRule="exact" w:val="284"/>
          <w:jc w:val="center"/>
        </w:trPr>
        <w:tc>
          <w:tcPr>
            <w:tcW w:w="2689" w:type="dxa"/>
            <w:shd w:val="clear" w:color="auto" w:fill="FFFFFF"/>
          </w:tcPr>
          <w:p w14:paraId="59ED5094" w14:textId="77777777" w:rsidR="00335882" w:rsidRPr="003234C5" w:rsidRDefault="00335882" w:rsidP="00335882">
            <w:pPr>
              <w:jc w:val="both"/>
              <w:rPr>
                <w:rFonts w:ascii="Arial" w:hAnsi="Arial" w:cs="Arial"/>
                <w:sz w:val="20"/>
                <w:szCs w:val="20"/>
              </w:rPr>
            </w:pPr>
            <w:r w:rsidRPr="003234C5">
              <w:rPr>
                <w:rFonts w:ascii="Arial" w:hAnsi="Arial" w:cs="Arial"/>
                <w:sz w:val="20"/>
                <w:szCs w:val="20"/>
              </w:rPr>
              <w:t>Manual de rotinas ARCE</w:t>
            </w:r>
          </w:p>
        </w:tc>
        <w:tc>
          <w:tcPr>
            <w:tcW w:w="708" w:type="dxa"/>
            <w:shd w:val="clear" w:color="auto" w:fill="FFFFFF"/>
          </w:tcPr>
          <w:p w14:paraId="0039302F" w14:textId="77777777" w:rsidR="00335882" w:rsidRPr="003234C5" w:rsidRDefault="00335882" w:rsidP="00335882">
            <w:pPr>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2CFA3C90" w14:textId="018D33B7" w:rsidR="00335882" w:rsidRPr="003234C5" w:rsidRDefault="002C3D5B" w:rsidP="00335882">
            <w:pPr>
              <w:jc w:val="right"/>
              <w:rPr>
                <w:rFonts w:ascii="Arial" w:hAnsi="Arial" w:cs="Arial"/>
                <w:sz w:val="20"/>
                <w:szCs w:val="20"/>
              </w:rPr>
            </w:pPr>
            <w:r>
              <w:rPr>
                <w:rFonts w:ascii="Arial" w:hAnsi="Arial" w:cs="Arial"/>
                <w:sz w:val="20"/>
                <w:szCs w:val="20"/>
              </w:rPr>
              <w:t>50</w:t>
            </w:r>
          </w:p>
        </w:tc>
        <w:tc>
          <w:tcPr>
            <w:tcW w:w="1417" w:type="dxa"/>
            <w:shd w:val="clear" w:color="auto" w:fill="FFFFFF"/>
          </w:tcPr>
          <w:p w14:paraId="16F230B7" w14:textId="3387EB13" w:rsidR="00335882" w:rsidRPr="003234C5" w:rsidRDefault="00631792" w:rsidP="00335882">
            <w:pPr>
              <w:jc w:val="right"/>
              <w:rPr>
                <w:rFonts w:ascii="Arial" w:hAnsi="Arial" w:cs="Arial"/>
                <w:sz w:val="20"/>
                <w:szCs w:val="20"/>
              </w:rPr>
            </w:pPr>
            <w:r>
              <w:rPr>
                <w:rFonts w:ascii="Arial" w:hAnsi="Arial" w:cs="Arial"/>
                <w:sz w:val="20"/>
                <w:szCs w:val="20"/>
              </w:rPr>
              <w:t>(38)</w:t>
            </w:r>
          </w:p>
        </w:tc>
        <w:tc>
          <w:tcPr>
            <w:tcW w:w="1418" w:type="dxa"/>
            <w:shd w:val="clear" w:color="auto" w:fill="FFFFFF"/>
          </w:tcPr>
          <w:p w14:paraId="64439A85" w14:textId="68A78A5F" w:rsidR="00335882" w:rsidRPr="003234C5" w:rsidRDefault="00631792" w:rsidP="00335882">
            <w:pPr>
              <w:jc w:val="right"/>
              <w:rPr>
                <w:rFonts w:ascii="Arial" w:hAnsi="Arial" w:cs="Arial"/>
                <w:sz w:val="20"/>
                <w:szCs w:val="20"/>
              </w:rPr>
            </w:pPr>
            <w:r>
              <w:rPr>
                <w:rFonts w:ascii="Arial" w:hAnsi="Arial" w:cs="Arial"/>
                <w:sz w:val="20"/>
                <w:szCs w:val="20"/>
              </w:rPr>
              <w:t>12</w:t>
            </w:r>
          </w:p>
        </w:tc>
        <w:tc>
          <w:tcPr>
            <w:tcW w:w="1417" w:type="dxa"/>
            <w:shd w:val="clear" w:color="auto" w:fill="FFFFFF"/>
          </w:tcPr>
          <w:p w14:paraId="108BC972" w14:textId="7DEABAE2"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17 </w:t>
            </w:r>
          </w:p>
        </w:tc>
      </w:tr>
      <w:tr w:rsidR="00335882" w:rsidRPr="003234C5" w14:paraId="34EBB657" w14:textId="77777777" w:rsidTr="002F280D">
        <w:trPr>
          <w:cantSplit/>
          <w:trHeight w:hRule="exact" w:val="284"/>
          <w:jc w:val="center"/>
        </w:trPr>
        <w:tc>
          <w:tcPr>
            <w:tcW w:w="2689" w:type="dxa"/>
            <w:shd w:val="clear" w:color="auto" w:fill="FFFFFF"/>
            <w:vAlign w:val="center"/>
          </w:tcPr>
          <w:p w14:paraId="07ED9FFB" w14:textId="28CE520D"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 xml:space="preserve">Rede de </w:t>
            </w:r>
            <w:proofErr w:type="spellStart"/>
            <w:r w:rsidRPr="003234C5">
              <w:rPr>
                <w:rFonts w:ascii="Arial" w:hAnsi="Arial" w:cs="Arial"/>
                <w:sz w:val="20"/>
                <w:szCs w:val="20"/>
              </w:rPr>
              <w:t>Distrib</w:t>
            </w:r>
            <w:proofErr w:type="spellEnd"/>
            <w:r w:rsidRPr="003234C5">
              <w:rPr>
                <w:rFonts w:ascii="Arial" w:hAnsi="Arial" w:cs="Arial"/>
                <w:sz w:val="20"/>
                <w:szCs w:val="20"/>
              </w:rPr>
              <w:t xml:space="preserve">. - Terceiros  </w:t>
            </w:r>
          </w:p>
        </w:tc>
        <w:tc>
          <w:tcPr>
            <w:tcW w:w="708" w:type="dxa"/>
            <w:shd w:val="clear" w:color="auto" w:fill="FFFFFF"/>
            <w:vAlign w:val="center"/>
          </w:tcPr>
          <w:p w14:paraId="421F07BF"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3B7900A1" w14:textId="6E115723" w:rsidR="00335882" w:rsidRPr="003234C5" w:rsidRDefault="002C3D5B" w:rsidP="00335882">
            <w:pPr>
              <w:jc w:val="right"/>
              <w:rPr>
                <w:rFonts w:ascii="Arial" w:hAnsi="Arial" w:cs="Arial"/>
                <w:sz w:val="20"/>
                <w:szCs w:val="20"/>
              </w:rPr>
            </w:pPr>
            <w:r>
              <w:rPr>
                <w:rFonts w:ascii="Arial" w:hAnsi="Arial" w:cs="Arial"/>
                <w:sz w:val="20"/>
                <w:szCs w:val="20"/>
              </w:rPr>
              <w:t>76</w:t>
            </w:r>
          </w:p>
        </w:tc>
        <w:tc>
          <w:tcPr>
            <w:tcW w:w="1417" w:type="dxa"/>
            <w:shd w:val="clear" w:color="auto" w:fill="FFFFFF"/>
          </w:tcPr>
          <w:p w14:paraId="2C19FCF4" w14:textId="30676DDD" w:rsidR="00335882" w:rsidRPr="003234C5" w:rsidRDefault="00631792" w:rsidP="00335882">
            <w:pPr>
              <w:jc w:val="right"/>
              <w:rPr>
                <w:rFonts w:ascii="Arial" w:hAnsi="Arial" w:cs="Arial"/>
                <w:sz w:val="20"/>
                <w:szCs w:val="20"/>
              </w:rPr>
            </w:pPr>
            <w:r>
              <w:rPr>
                <w:rFonts w:ascii="Arial" w:hAnsi="Arial" w:cs="Arial"/>
                <w:sz w:val="20"/>
                <w:szCs w:val="20"/>
              </w:rPr>
              <w:t>(27)</w:t>
            </w:r>
          </w:p>
        </w:tc>
        <w:tc>
          <w:tcPr>
            <w:tcW w:w="1418" w:type="dxa"/>
            <w:shd w:val="clear" w:color="auto" w:fill="FFFFFF"/>
          </w:tcPr>
          <w:p w14:paraId="7C09D5A8" w14:textId="7C67D41F" w:rsidR="00335882" w:rsidRPr="003234C5" w:rsidRDefault="00631792" w:rsidP="00335882">
            <w:pPr>
              <w:jc w:val="right"/>
              <w:rPr>
                <w:rFonts w:ascii="Arial" w:hAnsi="Arial" w:cs="Arial"/>
                <w:sz w:val="20"/>
                <w:szCs w:val="20"/>
              </w:rPr>
            </w:pPr>
            <w:r>
              <w:rPr>
                <w:rFonts w:ascii="Arial" w:hAnsi="Arial" w:cs="Arial"/>
                <w:sz w:val="20"/>
                <w:szCs w:val="20"/>
              </w:rPr>
              <w:t>49</w:t>
            </w:r>
          </w:p>
        </w:tc>
        <w:tc>
          <w:tcPr>
            <w:tcW w:w="1417" w:type="dxa"/>
            <w:shd w:val="clear" w:color="auto" w:fill="FFFFFF"/>
          </w:tcPr>
          <w:p w14:paraId="20569701" w14:textId="7548A6D6"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65 </w:t>
            </w:r>
          </w:p>
        </w:tc>
      </w:tr>
      <w:tr w:rsidR="00335882" w:rsidRPr="003234C5" w14:paraId="25CDDE82" w14:textId="77777777" w:rsidTr="002F280D">
        <w:trPr>
          <w:cantSplit/>
          <w:trHeight w:hRule="exact" w:val="284"/>
          <w:jc w:val="center"/>
        </w:trPr>
        <w:tc>
          <w:tcPr>
            <w:tcW w:w="2689" w:type="dxa"/>
            <w:shd w:val="clear" w:color="auto" w:fill="FFFFFF"/>
            <w:vAlign w:val="center"/>
          </w:tcPr>
          <w:p w14:paraId="51BEEB31"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Obras em Andamento</w:t>
            </w:r>
          </w:p>
        </w:tc>
        <w:tc>
          <w:tcPr>
            <w:tcW w:w="708" w:type="dxa"/>
            <w:shd w:val="clear" w:color="auto" w:fill="FFFFFF"/>
            <w:vAlign w:val="center"/>
          </w:tcPr>
          <w:p w14:paraId="24518A7F" w14:textId="77777777" w:rsidR="00335882" w:rsidRPr="003234C5" w:rsidRDefault="00335882" w:rsidP="00335882">
            <w:pPr>
              <w:autoSpaceDE w:val="0"/>
              <w:autoSpaceDN w:val="0"/>
              <w:adjustRightInd w:val="0"/>
              <w:jc w:val="center"/>
              <w:rPr>
                <w:rFonts w:ascii="Arial" w:hAnsi="Arial" w:cs="Arial"/>
                <w:sz w:val="20"/>
                <w:szCs w:val="20"/>
              </w:rPr>
            </w:pPr>
            <w:r w:rsidRPr="003234C5">
              <w:rPr>
                <w:rFonts w:ascii="Arial" w:hAnsi="Arial" w:cs="Arial"/>
                <w:sz w:val="20"/>
                <w:szCs w:val="20"/>
              </w:rPr>
              <w:t>10%</w:t>
            </w:r>
          </w:p>
        </w:tc>
        <w:tc>
          <w:tcPr>
            <w:tcW w:w="1418" w:type="dxa"/>
            <w:shd w:val="clear" w:color="auto" w:fill="FFFFFF"/>
          </w:tcPr>
          <w:p w14:paraId="673AFFDA" w14:textId="66B32C4E" w:rsidR="00335882" w:rsidRPr="003234C5" w:rsidRDefault="007D2BA7" w:rsidP="00335882">
            <w:pPr>
              <w:jc w:val="right"/>
              <w:rPr>
                <w:rFonts w:ascii="Arial" w:hAnsi="Arial" w:cs="Arial"/>
                <w:sz w:val="20"/>
                <w:szCs w:val="20"/>
              </w:rPr>
            </w:pPr>
            <w:r>
              <w:rPr>
                <w:rFonts w:ascii="Arial" w:hAnsi="Arial" w:cs="Arial"/>
                <w:sz w:val="20"/>
                <w:szCs w:val="20"/>
              </w:rPr>
              <w:t>35.795</w:t>
            </w:r>
          </w:p>
        </w:tc>
        <w:tc>
          <w:tcPr>
            <w:tcW w:w="1417" w:type="dxa"/>
            <w:shd w:val="clear" w:color="auto" w:fill="FFFFFF"/>
          </w:tcPr>
          <w:p w14:paraId="5D76469B" w14:textId="282A3674" w:rsidR="00335882" w:rsidRPr="003234C5" w:rsidRDefault="00835D29" w:rsidP="00335882">
            <w:pPr>
              <w:jc w:val="right"/>
              <w:rPr>
                <w:rFonts w:ascii="Arial" w:hAnsi="Arial" w:cs="Arial"/>
                <w:sz w:val="20"/>
                <w:szCs w:val="20"/>
              </w:rPr>
            </w:pPr>
            <w:r>
              <w:rPr>
                <w:rFonts w:ascii="Arial" w:hAnsi="Arial" w:cs="Arial"/>
                <w:sz w:val="20"/>
                <w:szCs w:val="20"/>
              </w:rPr>
              <w:t>-</w:t>
            </w:r>
          </w:p>
        </w:tc>
        <w:tc>
          <w:tcPr>
            <w:tcW w:w="1418" w:type="dxa"/>
            <w:shd w:val="clear" w:color="auto" w:fill="FFFFFF"/>
          </w:tcPr>
          <w:p w14:paraId="1D7F7E2E" w14:textId="7D96AABE" w:rsidR="00335882" w:rsidRPr="003234C5" w:rsidRDefault="00835D29" w:rsidP="00335882">
            <w:pPr>
              <w:jc w:val="right"/>
              <w:rPr>
                <w:rFonts w:ascii="Arial" w:hAnsi="Arial" w:cs="Arial"/>
                <w:sz w:val="20"/>
                <w:szCs w:val="20"/>
              </w:rPr>
            </w:pPr>
            <w:r>
              <w:rPr>
                <w:rFonts w:ascii="Arial" w:hAnsi="Arial" w:cs="Arial"/>
                <w:sz w:val="20"/>
                <w:szCs w:val="20"/>
              </w:rPr>
              <w:t>35.795</w:t>
            </w:r>
          </w:p>
        </w:tc>
        <w:tc>
          <w:tcPr>
            <w:tcW w:w="1417" w:type="dxa"/>
            <w:shd w:val="clear" w:color="auto" w:fill="FFFFFF"/>
          </w:tcPr>
          <w:p w14:paraId="3F186455" w14:textId="306479AA"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18.429 </w:t>
            </w:r>
          </w:p>
        </w:tc>
      </w:tr>
      <w:tr w:rsidR="00335882" w:rsidRPr="003234C5" w14:paraId="5F061B09" w14:textId="77777777" w:rsidTr="00D27171">
        <w:trPr>
          <w:cantSplit/>
          <w:trHeight w:hRule="exact" w:val="239"/>
          <w:jc w:val="center"/>
        </w:trPr>
        <w:tc>
          <w:tcPr>
            <w:tcW w:w="3397" w:type="dxa"/>
            <w:gridSpan w:val="2"/>
            <w:shd w:val="clear" w:color="auto" w:fill="C0C0C0"/>
            <w:vAlign w:val="center"/>
          </w:tcPr>
          <w:p w14:paraId="65DDDB98" w14:textId="77777777" w:rsidR="00335882" w:rsidRPr="003234C5" w:rsidRDefault="00335882" w:rsidP="00335882">
            <w:pPr>
              <w:autoSpaceDE w:val="0"/>
              <w:autoSpaceDN w:val="0"/>
              <w:adjustRightInd w:val="0"/>
              <w:jc w:val="both"/>
              <w:rPr>
                <w:rFonts w:ascii="Arial" w:hAnsi="Arial" w:cs="Arial"/>
                <w:b/>
                <w:sz w:val="20"/>
                <w:szCs w:val="20"/>
              </w:rPr>
            </w:pPr>
            <w:r w:rsidRPr="003234C5">
              <w:rPr>
                <w:rFonts w:ascii="Arial" w:hAnsi="Arial" w:cs="Arial"/>
                <w:b/>
                <w:sz w:val="20"/>
                <w:szCs w:val="20"/>
              </w:rPr>
              <w:t>TOTAIS</w:t>
            </w:r>
          </w:p>
        </w:tc>
        <w:tc>
          <w:tcPr>
            <w:tcW w:w="1418" w:type="dxa"/>
            <w:shd w:val="clear" w:color="auto" w:fill="C0C0C0"/>
          </w:tcPr>
          <w:p w14:paraId="0B3E432B" w14:textId="7E1D80DF" w:rsidR="00335882" w:rsidRPr="003234C5" w:rsidRDefault="00835D29" w:rsidP="00335882">
            <w:pPr>
              <w:pageBreakBefore/>
              <w:autoSpaceDE w:val="0"/>
              <w:autoSpaceDN w:val="0"/>
              <w:adjustRightInd w:val="0"/>
              <w:jc w:val="right"/>
              <w:rPr>
                <w:rFonts w:ascii="Arial" w:hAnsi="Arial" w:cs="Arial"/>
                <w:b/>
                <w:bCs/>
                <w:sz w:val="20"/>
                <w:szCs w:val="20"/>
              </w:rPr>
            </w:pPr>
            <w:r>
              <w:rPr>
                <w:rFonts w:ascii="Arial" w:hAnsi="Arial" w:cs="Arial"/>
                <w:b/>
                <w:bCs/>
                <w:sz w:val="20"/>
                <w:szCs w:val="20"/>
              </w:rPr>
              <w:t>235.962</w:t>
            </w:r>
          </w:p>
        </w:tc>
        <w:tc>
          <w:tcPr>
            <w:tcW w:w="1417" w:type="dxa"/>
            <w:shd w:val="clear" w:color="auto" w:fill="C0C0C0"/>
          </w:tcPr>
          <w:p w14:paraId="6EA38024" w14:textId="17467EFF" w:rsidR="00335882" w:rsidRPr="003234C5" w:rsidRDefault="00B00976" w:rsidP="00335882">
            <w:pPr>
              <w:jc w:val="right"/>
              <w:rPr>
                <w:rFonts w:ascii="Arial" w:hAnsi="Arial" w:cs="Arial"/>
                <w:b/>
                <w:bCs/>
                <w:sz w:val="20"/>
                <w:szCs w:val="20"/>
              </w:rPr>
            </w:pPr>
            <w:r>
              <w:rPr>
                <w:rFonts w:ascii="Arial" w:hAnsi="Arial" w:cs="Arial"/>
                <w:b/>
                <w:bCs/>
                <w:sz w:val="20"/>
                <w:szCs w:val="20"/>
              </w:rPr>
              <w:t>(103.159)</w:t>
            </w:r>
          </w:p>
        </w:tc>
        <w:tc>
          <w:tcPr>
            <w:tcW w:w="1418" w:type="dxa"/>
            <w:shd w:val="clear" w:color="auto" w:fill="C0C0C0"/>
          </w:tcPr>
          <w:p w14:paraId="1177D5C6" w14:textId="2C452016" w:rsidR="00335882" w:rsidRPr="003234C5" w:rsidRDefault="00B00976" w:rsidP="00335882">
            <w:pPr>
              <w:jc w:val="right"/>
              <w:rPr>
                <w:rFonts w:ascii="Arial" w:hAnsi="Arial" w:cs="Arial"/>
                <w:b/>
                <w:bCs/>
                <w:sz w:val="20"/>
                <w:szCs w:val="20"/>
              </w:rPr>
            </w:pPr>
            <w:r>
              <w:rPr>
                <w:rFonts w:ascii="Arial" w:hAnsi="Arial" w:cs="Arial"/>
                <w:b/>
                <w:bCs/>
                <w:sz w:val="20"/>
                <w:szCs w:val="20"/>
              </w:rPr>
              <w:t>132.803</w:t>
            </w:r>
          </w:p>
        </w:tc>
        <w:tc>
          <w:tcPr>
            <w:tcW w:w="1417" w:type="dxa"/>
            <w:shd w:val="clear" w:color="auto" w:fill="C0C0C0"/>
          </w:tcPr>
          <w:p w14:paraId="3D50C799" w14:textId="447467ED" w:rsidR="00335882" w:rsidRPr="003234C5" w:rsidRDefault="00335882" w:rsidP="00335882">
            <w:pPr>
              <w:jc w:val="right"/>
              <w:rPr>
                <w:rFonts w:ascii="Arial" w:hAnsi="Arial" w:cs="Arial"/>
                <w:b/>
                <w:sz w:val="20"/>
                <w:szCs w:val="20"/>
              </w:rPr>
            </w:pPr>
            <w:r w:rsidRPr="003234C5">
              <w:rPr>
                <w:rFonts w:ascii="Arial" w:hAnsi="Arial" w:cs="Arial"/>
                <w:b/>
                <w:sz w:val="20"/>
                <w:szCs w:val="20"/>
              </w:rPr>
              <w:t xml:space="preserve"> 125.288 </w:t>
            </w:r>
          </w:p>
        </w:tc>
      </w:tr>
      <w:bookmarkEnd w:id="29"/>
    </w:tbl>
    <w:p w14:paraId="4E0EBFAB" w14:textId="77777777" w:rsidR="00BF1849" w:rsidRDefault="00BF1849" w:rsidP="00A746E0">
      <w:pPr>
        <w:autoSpaceDE w:val="0"/>
        <w:autoSpaceDN w:val="0"/>
        <w:adjustRightInd w:val="0"/>
        <w:spacing w:before="240"/>
        <w:jc w:val="both"/>
        <w:rPr>
          <w:rFonts w:ascii="Arial" w:hAnsi="Arial" w:cs="Arial"/>
        </w:rPr>
      </w:pPr>
    </w:p>
    <w:p w14:paraId="5BFAB810" w14:textId="77777777" w:rsidR="00BF1849" w:rsidRDefault="00BF1849" w:rsidP="00A746E0">
      <w:pPr>
        <w:autoSpaceDE w:val="0"/>
        <w:autoSpaceDN w:val="0"/>
        <w:adjustRightInd w:val="0"/>
        <w:spacing w:before="240"/>
        <w:jc w:val="both"/>
        <w:rPr>
          <w:rFonts w:ascii="Arial" w:hAnsi="Arial" w:cs="Arial"/>
        </w:rPr>
      </w:pPr>
    </w:p>
    <w:p w14:paraId="4FB5F111" w14:textId="77777777" w:rsidR="00BF1849" w:rsidRDefault="00BF1849" w:rsidP="00A746E0">
      <w:pPr>
        <w:autoSpaceDE w:val="0"/>
        <w:autoSpaceDN w:val="0"/>
        <w:adjustRightInd w:val="0"/>
        <w:spacing w:before="240"/>
        <w:jc w:val="both"/>
        <w:rPr>
          <w:rFonts w:ascii="Arial" w:hAnsi="Arial" w:cs="Arial"/>
        </w:rPr>
      </w:pPr>
    </w:p>
    <w:p w14:paraId="73902F98" w14:textId="77777777" w:rsidR="00BF1849" w:rsidRDefault="00BF1849" w:rsidP="00A746E0">
      <w:pPr>
        <w:autoSpaceDE w:val="0"/>
        <w:autoSpaceDN w:val="0"/>
        <w:adjustRightInd w:val="0"/>
        <w:spacing w:before="240"/>
        <w:jc w:val="both"/>
        <w:rPr>
          <w:rFonts w:ascii="Arial" w:hAnsi="Arial" w:cs="Arial"/>
        </w:rPr>
      </w:pPr>
    </w:p>
    <w:p w14:paraId="0291C0D2" w14:textId="77777777" w:rsidR="00BF1849" w:rsidRDefault="00BF1849" w:rsidP="00A746E0">
      <w:pPr>
        <w:autoSpaceDE w:val="0"/>
        <w:autoSpaceDN w:val="0"/>
        <w:adjustRightInd w:val="0"/>
        <w:spacing w:before="240"/>
        <w:jc w:val="both"/>
        <w:rPr>
          <w:rFonts w:ascii="Arial" w:hAnsi="Arial" w:cs="Arial"/>
        </w:rPr>
      </w:pPr>
    </w:p>
    <w:p w14:paraId="687F8799" w14:textId="77777777" w:rsidR="00BF1849" w:rsidRDefault="00BF1849" w:rsidP="00A746E0">
      <w:pPr>
        <w:autoSpaceDE w:val="0"/>
        <w:autoSpaceDN w:val="0"/>
        <w:adjustRightInd w:val="0"/>
        <w:spacing w:before="240"/>
        <w:jc w:val="both"/>
        <w:rPr>
          <w:rFonts w:ascii="Arial" w:hAnsi="Arial" w:cs="Arial"/>
        </w:rPr>
      </w:pPr>
    </w:p>
    <w:p w14:paraId="368B7BB4" w14:textId="77777777" w:rsidR="00BF1849" w:rsidRDefault="00BF1849" w:rsidP="00A746E0">
      <w:pPr>
        <w:autoSpaceDE w:val="0"/>
        <w:autoSpaceDN w:val="0"/>
        <w:adjustRightInd w:val="0"/>
        <w:spacing w:before="240"/>
        <w:jc w:val="both"/>
        <w:rPr>
          <w:rFonts w:ascii="Arial" w:hAnsi="Arial" w:cs="Arial"/>
        </w:rPr>
      </w:pPr>
    </w:p>
    <w:p w14:paraId="51A737E9" w14:textId="7F81EDC4" w:rsidR="00335882" w:rsidRPr="003234C5" w:rsidRDefault="00200682" w:rsidP="00A746E0">
      <w:pPr>
        <w:autoSpaceDE w:val="0"/>
        <w:autoSpaceDN w:val="0"/>
        <w:adjustRightInd w:val="0"/>
        <w:spacing w:before="240"/>
        <w:jc w:val="both"/>
        <w:rPr>
          <w:rFonts w:ascii="Arial" w:hAnsi="Arial" w:cs="Arial"/>
        </w:rPr>
      </w:pPr>
      <w:r w:rsidRPr="003234C5">
        <w:rPr>
          <w:rFonts w:ascii="Arial" w:hAnsi="Arial" w:cs="Arial"/>
        </w:rPr>
        <w:lastRenderedPageBreak/>
        <w:t xml:space="preserve">No quadro abaixo </w:t>
      </w:r>
      <w:r w:rsidR="00A746E0" w:rsidRPr="003234C5">
        <w:rPr>
          <w:rFonts w:ascii="Arial" w:hAnsi="Arial" w:cs="Arial"/>
        </w:rPr>
        <w:t xml:space="preserve">apresenta-se </w:t>
      </w:r>
      <w:r w:rsidRPr="003234C5">
        <w:rPr>
          <w:rFonts w:ascii="Arial" w:hAnsi="Arial" w:cs="Arial"/>
        </w:rPr>
        <w:t>a movimentação das contas ocorrida no exercício:</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8"/>
        <w:gridCol w:w="1384"/>
        <w:gridCol w:w="1114"/>
        <w:gridCol w:w="1242"/>
        <w:gridCol w:w="1385"/>
        <w:gridCol w:w="1384"/>
      </w:tblGrid>
      <w:tr w:rsidR="00420EC7" w:rsidRPr="003234C5" w14:paraId="3BFE4153" w14:textId="77777777" w:rsidTr="00371FB1">
        <w:trPr>
          <w:cantSplit/>
          <w:trHeight w:hRule="exact" w:val="721"/>
          <w:jc w:val="center"/>
        </w:trPr>
        <w:tc>
          <w:tcPr>
            <w:tcW w:w="2568" w:type="dxa"/>
            <w:shd w:val="clear" w:color="auto" w:fill="C0C0C0"/>
            <w:vAlign w:val="center"/>
          </w:tcPr>
          <w:p w14:paraId="25744F80" w14:textId="77777777" w:rsidR="00420EC7" w:rsidRPr="003234C5" w:rsidRDefault="00420EC7" w:rsidP="00492DEB">
            <w:pPr>
              <w:autoSpaceDE w:val="0"/>
              <w:autoSpaceDN w:val="0"/>
              <w:adjustRightInd w:val="0"/>
              <w:spacing w:after="0" w:line="240" w:lineRule="auto"/>
              <w:jc w:val="both"/>
              <w:rPr>
                <w:rFonts w:ascii="Arial" w:hAnsi="Arial" w:cs="Arial"/>
                <w:sz w:val="20"/>
                <w:szCs w:val="20"/>
              </w:rPr>
            </w:pPr>
            <w:r w:rsidRPr="003234C5">
              <w:rPr>
                <w:rFonts w:ascii="Arial" w:hAnsi="Arial" w:cs="Arial"/>
                <w:b/>
                <w:sz w:val="20"/>
                <w:szCs w:val="20"/>
              </w:rPr>
              <w:t>DESCRIÇÃO</w:t>
            </w:r>
          </w:p>
        </w:tc>
        <w:tc>
          <w:tcPr>
            <w:tcW w:w="1384" w:type="dxa"/>
            <w:shd w:val="clear" w:color="auto" w:fill="C0C0C0"/>
            <w:vAlign w:val="center"/>
          </w:tcPr>
          <w:p w14:paraId="7A1A9B1E" w14:textId="3DAC6828" w:rsidR="00420EC7" w:rsidRPr="003234C5" w:rsidRDefault="00420EC7" w:rsidP="00492DEB">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 xml:space="preserve">Saldo em </w:t>
            </w:r>
            <w:r w:rsidR="00C6257E">
              <w:rPr>
                <w:rFonts w:ascii="Arial" w:hAnsi="Arial" w:cs="Arial"/>
                <w:b/>
                <w:sz w:val="20"/>
                <w:szCs w:val="20"/>
              </w:rPr>
              <w:t>2018</w:t>
            </w:r>
          </w:p>
        </w:tc>
        <w:tc>
          <w:tcPr>
            <w:tcW w:w="1114" w:type="dxa"/>
            <w:shd w:val="clear" w:color="auto" w:fill="C0C0C0"/>
            <w:vAlign w:val="center"/>
          </w:tcPr>
          <w:p w14:paraId="69BDC1E3" w14:textId="77777777" w:rsidR="00420EC7" w:rsidRPr="003234C5" w:rsidRDefault="00420EC7" w:rsidP="00492DEB">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Adições</w:t>
            </w:r>
          </w:p>
        </w:tc>
        <w:tc>
          <w:tcPr>
            <w:tcW w:w="1242" w:type="dxa"/>
            <w:shd w:val="clear" w:color="auto" w:fill="C0C0C0"/>
            <w:vAlign w:val="center"/>
          </w:tcPr>
          <w:p w14:paraId="2FC40233" w14:textId="77777777" w:rsidR="00420EC7" w:rsidRPr="003234C5" w:rsidRDefault="00420EC7" w:rsidP="00492DEB">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Baixas/</w:t>
            </w:r>
          </w:p>
          <w:p w14:paraId="0D95251D" w14:textId="77777777" w:rsidR="00420EC7" w:rsidRPr="003234C5" w:rsidRDefault="00420EC7" w:rsidP="00492DEB">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Rever.</w:t>
            </w:r>
          </w:p>
        </w:tc>
        <w:tc>
          <w:tcPr>
            <w:tcW w:w="1385" w:type="dxa"/>
            <w:shd w:val="clear" w:color="auto" w:fill="C0C0C0"/>
            <w:vAlign w:val="center"/>
          </w:tcPr>
          <w:p w14:paraId="2DBD810F" w14:textId="77777777" w:rsidR="00420EC7" w:rsidRPr="003234C5" w:rsidRDefault="00420EC7" w:rsidP="00492DEB">
            <w:pPr>
              <w:autoSpaceDE w:val="0"/>
              <w:autoSpaceDN w:val="0"/>
              <w:adjustRightInd w:val="0"/>
              <w:spacing w:after="0" w:line="240" w:lineRule="auto"/>
              <w:jc w:val="center"/>
              <w:rPr>
                <w:rFonts w:ascii="Arial" w:hAnsi="Arial" w:cs="Arial"/>
                <w:b/>
                <w:sz w:val="20"/>
                <w:szCs w:val="20"/>
              </w:rPr>
            </w:pPr>
            <w:proofErr w:type="spellStart"/>
            <w:r w:rsidRPr="003234C5">
              <w:rPr>
                <w:rFonts w:ascii="Arial" w:hAnsi="Arial" w:cs="Arial"/>
                <w:b/>
                <w:sz w:val="20"/>
                <w:szCs w:val="20"/>
              </w:rPr>
              <w:t>Transf</w:t>
            </w:r>
            <w:proofErr w:type="spellEnd"/>
            <w:r w:rsidRPr="003234C5">
              <w:rPr>
                <w:rFonts w:ascii="Arial" w:hAnsi="Arial" w:cs="Arial"/>
                <w:b/>
                <w:sz w:val="20"/>
                <w:szCs w:val="20"/>
              </w:rPr>
              <w:t>.</w:t>
            </w:r>
          </w:p>
        </w:tc>
        <w:tc>
          <w:tcPr>
            <w:tcW w:w="1384" w:type="dxa"/>
            <w:shd w:val="clear" w:color="auto" w:fill="C0C0C0"/>
            <w:vAlign w:val="center"/>
          </w:tcPr>
          <w:p w14:paraId="5A0CE6C7" w14:textId="4233F3EB" w:rsidR="00420EC7" w:rsidRPr="003234C5" w:rsidRDefault="00420EC7" w:rsidP="00492DEB">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 xml:space="preserve">Saldo em </w:t>
            </w:r>
            <w:r w:rsidR="00C6257E">
              <w:rPr>
                <w:rFonts w:ascii="Arial" w:hAnsi="Arial" w:cs="Arial"/>
                <w:b/>
                <w:sz w:val="20"/>
                <w:szCs w:val="20"/>
              </w:rPr>
              <w:t>2019</w:t>
            </w:r>
          </w:p>
        </w:tc>
      </w:tr>
      <w:tr w:rsidR="00335882" w:rsidRPr="003234C5" w14:paraId="629C48D0" w14:textId="77777777" w:rsidTr="00371FB1">
        <w:trPr>
          <w:cantSplit/>
          <w:trHeight w:hRule="exact" w:val="276"/>
          <w:jc w:val="center"/>
        </w:trPr>
        <w:tc>
          <w:tcPr>
            <w:tcW w:w="2568" w:type="dxa"/>
            <w:shd w:val="clear" w:color="auto" w:fill="FFFFFF"/>
            <w:vAlign w:val="center"/>
          </w:tcPr>
          <w:p w14:paraId="241CEF9C"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Terrenos</w:t>
            </w:r>
          </w:p>
        </w:tc>
        <w:tc>
          <w:tcPr>
            <w:tcW w:w="1384" w:type="dxa"/>
            <w:shd w:val="clear" w:color="auto" w:fill="FFFFFF"/>
          </w:tcPr>
          <w:p w14:paraId="05210114" w14:textId="5231FD52" w:rsidR="00335882" w:rsidRPr="003234C5" w:rsidRDefault="00335882" w:rsidP="00335882">
            <w:pPr>
              <w:jc w:val="right"/>
              <w:rPr>
                <w:rFonts w:ascii="Arial" w:hAnsi="Arial" w:cs="Arial"/>
                <w:sz w:val="20"/>
                <w:szCs w:val="20"/>
              </w:rPr>
            </w:pPr>
            <w:r w:rsidRPr="003234C5">
              <w:rPr>
                <w:rFonts w:ascii="Arial" w:hAnsi="Arial" w:cs="Arial"/>
                <w:sz w:val="20"/>
                <w:szCs w:val="20"/>
              </w:rPr>
              <w:t>676</w:t>
            </w:r>
          </w:p>
        </w:tc>
        <w:tc>
          <w:tcPr>
            <w:tcW w:w="1114" w:type="dxa"/>
            <w:shd w:val="clear" w:color="auto" w:fill="FFFFFF"/>
          </w:tcPr>
          <w:p w14:paraId="5E3301BA" w14:textId="5041477A" w:rsidR="00335882" w:rsidRPr="003234C5" w:rsidRDefault="007E0D06" w:rsidP="00335882">
            <w:pPr>
              <w:jc w:val="right"/>
              <w:rPr>
                <w:rFonts w:ascii="Arial" w:hAnsi="Arial" w:cs="Arial"/>
                <w:sz w:val="20"/>
                <w:szCs w:val="20"/>
              </w:rPr>
            </w:pPr>
            <w:r>
              <w:rPr>
                <w:rFonts w:ascii="Arial" w:hAnsi="Arial" w:cs="Arial"/>
                <w:sz w:val="20"/>
                <w:szCs w:val="20"/>
              </w:rPr>
              <w:t>-</w:t>
            </w:r>
          </w:p>
        </w:tc>
        <w:tc>
          <w:tcPr>
            <w:tcW w:w="1242" w:type="dxa"/>
            <w:shd w:val="clear" w:color="auto" w:fill="FFFFFF"/>
          </w:tcPr>
          <w:p w14:paraId="65D635E1" w14:textId="735FF82C" w:rsidR="00335882" w:rsidRPr="003234C5" w:rsidRDefault="007E0D06" w:rsidP="00335882">
            <w:pPr>
              <w:jc w:val="right"/>
              <w:rPr>
                <w:rFonts w:ascii="Arial" w:hAnsi="Arial" w:cs="Arial"/>
                <w:sz w:val="20"/>
                <w:szCs w:val="20"/>
              </w:rPr>
            </w:pPr>
            <w:r>
              <w:rPr>
                <w:rFonts w:ascii="Arial" w:hAnsi="Arial" w:cs="Arial"/>
                <w:sz w:val="20"/>
                <w:szCs w:val="20"/>
              </w:rPr>
              <w:t>-</w:t>
            </w:r>
          </w:p>
        </w:tc>
        <w:tc>
          <w:tcPr>
            <w:tcW w:w="1385" w:type="dxa"/>
            <w:shd w:val="clear" w:color="auto" w:fill="FFFFFF"/>
          </w:tcPr>
          <w:p w14:paraId="65DDD57F" w14:textId="43C09C8E" w:rsidR="00335882" w:rsidRPr="003234C5" w:rsidRDefault="007E0D06" w:rsidP="00335882">
            <w:pPr>
              <w:jc w:val="right"/>
              <w:rPr>
                <w:rFonts w:ascii="Arial" w:hAnsi="Arial" w:cs="Arial"/>
                <w:sz w:val="20"/>
                <w:szCs w:val="20"/>
              </w:rPr>
            </w:pPr>
            <w:r>
              <w:rPr>
                <w:rFonts w:ascii="Arial" w:hAnsi="Arial" w:cs="Arial"/>
                <w:sz w:val="20"/>
                <w:szCs w:val="20"/>
              </w:rPr>
              <w:t>-</w:t>
            </w:r>
          </w:p>
        </w:tc>
        <w:tc>
          <w:tcPr>
            <w:tcW w:w="1384" w:type="dxa"/>
            <w:shd w:val="clear" w:color="auto" w:fill="FFFFFF"/>
          </w:tcPr>
          <w:p w14:paraId="0A546466" w14:textId="774D5D39" w:rsidR="00335882" w:rsidRPr="003234C5" w:rsidRDefault="007E0D06" w:rsidP="00335882">
            <w:pPr>
              <w:jc w:val="right"/>
              <w:rPr>
                <w:rFonts w:ascii="Arial" w:hAnsi="Arial" w:cs="Arial"/>
                <w:sz w:val="20"/>
                <w:szCs w:val="20"/>
              </w:rPr>
            </w:pPr>
            <w:r>
              <w:rPr>
                <w:rFonts w:ascii="Arial" w:hAnsi="Arial" w:cs="Arial"/>
                <w:sz w:val="20"/>
                <w:szCs w:val="20"/>
              </w:rPr>
              <w:t>676</w:t>
            </w:r>
          </w:p>
        </w:tc>
      </w:tr>
      <w:tr w:rsidR="00335882" w:rsidRPr="003234C5" w14:paraId="06510D5B" w14:textId="77777777" w:rsidTr="00371FB1">
        <w:trPr>
          <w:cantSplit/>
          <w:trHeight w:hRule="exact" w:val="276"/>
          <w:jc w:val="center"/>
        </w:trPr>
        <w:tc>
          <w:tcPr>
            <w:tcW w:w="2568" w:type="dxa"/>
            <w:shd w:val="clear" w:color="auto" w:fill="FFFFFF"/>
            <w:vAlign w:val="center"/>
          </w:tcPr>
          <w:p w14:paraId="20A23067"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Edificações (Imóveis)</w:t>
            </w:r>
          </w:p>
        </w:tc>
        <w:tc>
          <w:tcPr>
            <w:tcW w:w="1384" w:type="dxa"/>
            <w:shd w:val="clear" w:color="auto" w:fill="FFFFFF"/>
          </w:tcPr>
          <w:p w14:paraId="092794EC" w14:textId="120E3B8E"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2.821</w:t>
            </w:r>
          </w:p>
        </w:tc>
        <w:tc>
          <w:tcPr>
            <w:tcW w:w="1114" w:type="dxa"/>
            <w:shd w:val="clear" w:color="auto" w:fill="FFFFFF"/>
          </w:tcPr>
          <w:p w14:paraId="4E88C95F" w14:textId="5C8187D2" w:rsidR="00335882" w:rsidRPr="003234C5" w:rsidRDefault="008F2A8B" w:rsidP="00335882">
            <w:pPr>
              <w:jc w:val="right"/>
              <w:rPr>
                <w:rFonts w:ascii="Arial" w:hAnsi="Arial" w:cs="Arial"/>
                <w:sz w:val="20"/>
                <w:szCs w:val="20"/>
              </w:rPr>
            </w:pPr>
            <w:r>
              <w:rPr>
                <w:rFonts w:ascii="Arial" w:hAnsi="Arial" w:cs="Arial"/>
                <w:sz w:val="20"/>
                <w:szCs w:val="20"/>
              </w:rPr>
              <w:t>-</w:t>
            </w:r>
          </w:p>
        </w:tc>
        <w:tc>
          <w:tcPr>
            <w:tcW w:w="1242" w:type="dxa"/>
            <w:shd w:val="clear" w:color="auto" w:fill="FFFFFF"/>
          </w:tcPr>
          <w:p w14:paraId="70A21EB8" w14:textId="70446D3C" w:rsidR="00335882" w:rsidRPr="003234C5" w:rsidRDefault="008F2A8B"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1681778D" w14:textId="0C1F90DC" w:rsidR="00335882" w:rsidRPr="003234C5" w:rsidRDefault="008F2A8B" w:rsidP="00335882">
            <w:pPr>
              <w:jc w:val="right"/>
              <w:rPr>
                <w:rFonts w:ascii="Arial" w:hAnsi="Arial" w:cs="Arial"/>
                <w:sz w:val="20"/>
                <w:szCs w:val="20"/>
              </w:rPr>
            </w:pPr>
            <w:r>
              <w:rPr>
                <w:rFonts w:ascii="Arial" w:hAnsi="Arial" w:cs="Arial"/>
                <w:sz w:val="20"/>
                <w:szCs w:val="20"/>
              </w:rPr>
              <w:t>-</w:t>
            </w:r>
          </w:p>
        </w:tc>
        <w:tc>
          <w:tcPr>
            <w:tcW w:w="1384" w:type="dxa"/>
            <w:shd w:val="clear" w:color="auto" w:fill="FFFFFF"/>
          </w:tcPr>
          <w:p w14:paraId="7FD415B0" w14:textId="415E290C" w:rsidR="00335882" w:rsidRPr="003234C5" w:rsidRDefault="008F2A8B" w:rsidP="00335882">
            <w:pPr>
              <w:jc w:val="right"/>
              <w:rPr>
                <w:rFonts w:ascii="Arial" w:hAnsi="Arial" w:cs="Arial"/>
                <w:sz w:val="20"/>
                <w:szCs w:val="20"/>
              </w:rPr>
            </w:pPr>
            <w:r>
              <w:rPr>
                <w:rFonts w:ascii="Arial" w:hAnsi="Arial" w:cs="Arial"/>
                <w:sz w:val="20"/>
                <w:szCs w:val="20"/>
              </w:rPr>
              <w:t>2.821</w:t>
            </w:r>
          </w:p>
        </w:tc>
      </w:tr>
      <w:tr w:rsidR="00335882" w:rsidRPr="003234C5" w14:paraId="0255AAE0" w14:textId="77777777" w:rsidTr="00371FB1">
        <w:trPr>
          <w:cantSplit/>
          <w:trHeight w:hRule="exact" w:val="276"/>
          <w:jc w:val="center"/>
        </w:trPr>
        <w:tc>
          <w:tcPr>
            <w:tcW w:w="2568" w:type="dxa"/>
            <w:shd w:val="clear" w:color="auto" w:fill="FFFFFF"/>
            <w:vAlign w:val="center"/>
          </w:tcPr>
          <w:p w14:paraId="6E7A1ED1"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Móveis e Utensílios</w:t>
            </w:r>
          </w:p>
        </w:tc>
        <w:tc>
          <w:tcPr>
            <w:tcW w:w="1384" w:type="dxa"/>
            <w:shd w:val="clear" w:color="auto" w:fill="FFFFFF"/>
          </w:tcPr>
          <w:p w14:paraId="5DFD320F" w14:textId="4E4B9E73"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1.985</w:t>
            </w:r>
          </w:p>
        </w:tc>
        <w:tc>
          <w:tcPr>
            <w:tcW w:w="1114" w:type="dxa"/>
            <w:shd w:val="clear" w:color="auto" w:fill="FFFFFF"/>
          </w:tcPr>
          <w:p w14:paraId="55764649" w14:textId="3FC8F50F" w:rsidR="00335882" w:rsidRPr="003234C5" w:rsidRDefault="00F44342" w:rsidP="00335882">
            <w:pPr>
              <w:jc w:val="right"/>
              <w:rPr>
                <w:rFonts w:ascii="Arial" w:hAnsi="Arial" w:cs="Arial"/>
                <w:sz w:val="20"/>
                <w:szCs w:val="20"/>
              </w:rPr>
            </w:pPr>
            <w:r>
              <w:rPr>
                <w:rFonts w:ascii="Arial" w:hAnsi="Arial" w:cs="Arial"/>
                <w:sz w:val="20"/>
                <w:szCs w:val="20"/>
              </w:rPr>
              <w:t>629</w:t>
            </w:r>
          </w:p>
        </w:tc>
        <w:tc>
          <w:tcPr>
            <w:tcW w:w="1242" w:type="dxa"/>
            <w:shd w:val="clear" w:color="auto" w:fill="FFFFFF"/>
          </w:tcPr>
          <w:p w14:paraId="35733A62" w14:textId="1B6E0922" w:rsidR="00335882" w:rsidRPr="003234C5" w:rsidRDefault="00F44342"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20938F9B" w14:textId="6761182B" w:rsidR="00335882" w:rsidRPr="003234C5" w:rsidRDefault="00F44342"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57F8E428" w14:textId="2B528031" w:rsidR="00335882" w:rsidRPr="003234C5" w:rsidRDefault="00EC59D3" w:rsidP="00335882">
            <w:pPr>
              <w:jc w:val="right"/>
              <w:rPr>
                <w:rFonts w:ascii="Arial" w:hAnsi="Arial" w:cs="Arial"/>
                <w:sz w:val="20"/>
                <w:szCs w:val="20"/>
              </w:rPr>
            </w:pPr>
            <w:r>
              <w:rPr>
                <w:rFonts w:ascii="Arial" w:hAnsi="Arial" w:cs="Arial"/>
                <w:sz w:val="20"/>
                <w:szCs w:val="20"/>
              </w:rPr>
              <w:t>2.614</w:t>
            </w:r>
          </w:p>
        </w:tc>
      </w:tr>
      <w:tr w:rsidR="00335882" w:rsidRPr="003234C5" w14:paraId="77516604" w14:textId="77777777" w:rsidTr="00371FB1">
        <w:trPr>
          <w:cantSplit/>
          <w:trHeight w:hRule="exact" w:val="276"/>
          <w:jc w:val="center"/>
        </w:trPr>
        <w:tc>
          <w:tcPr>
            <w:tcW w:w="2568" w:type="dxa"/>
            <w:shd w:val="clear" w:color="auto" w:fill="FFFFFF"/>
            <w:vAlign w:val="center"/>
          </w:tcPr>
          <w:p w14:paraId="2B890CC6"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Veículo Tec. Administrativo</w:t>
            </w:r>
          </w:p>
        </w:tc>
        <w:tc>
          <w:tcPr>
            <w:tcW w:w="1384" w:type="dxa"/>
            <w:shd w:val="clear" w:color="auto" w:fill="FFFFFF"/>
          </w:tcPr>
          <w:p w14:paraId="43BBC0A7" w14:textId="718E2CB6"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1.417</w:t>
            </w:r>
          </w:p>
        </w:tc>
        <w:tc>
          <w:tcPr>
            <w:tcW w:w="1114" w:type="dxa"/>
            <w:shd w:val="clear" w:color="auto" w:fill="FFFFFF"/>
          </w:tcPr>
          <w:p w14:paraId="14DAA468" w14:textId="7A09265E" w:rsidR="00335882" w:rsidRPr="003234C5" w:rsidRDefault="000331A1" w:rsidP="00335882">
            <w:pPr>
              <w:jc w:val="right"/>
              <w:rPr>
                <w:rFonts w:ascii="Arial" w:hAnsi="Arial" w:cs="Arial"/>
                <w:sz w:val="20"/>
                <w:szCs w:val="20"/>
              </w:rPr>
            </w:pPr>
            <w:r>
              <w:rPr>
                <w:rFonts w:ascii="Arial" w:hAnsi="Arial" w:cs="Arial"/>
                <w:sz w:val="20"/>
                <w:szCs w:val="20"/>
              </w:rPr>
              <w:t>430</w:t>
            </w:r>
          </w:p>
        </w:tc>
        <w:tc>
          <w:tcPr>
            <w:tcW w:w="1242" w:type="dxa"/>
            <w:shd w:val="clear" w:color="auto" w:fill="FFFFFF"/>
          </w:tcPr>
          <w:p w14:paraId="22E1E62D" w14:textId="63193B36" w:rsidR="00335882" w:rsidRPr="003234C5" w:rsidRDefault="000331A1" w:rsidP="00335882">
            <w:pPr>
              <w:autoSpaceDE w:val="0"/>
              <w:autoSpaceDN w:val="0"/>
              <w:adjustRightInd w:val="0"/>
              <w:jc w:val="right"/>
              <w:rPr>
                <w:rFonts w:ascii="Arial" w:hAnsi="Arial" w:cs="Arial"/>
                <w:sz w:val="20"/>
                <w:szCs w:val="20"/>
              </w:rPr>
            </w:pPr>
            <w:r>
              <w:rPr>
                <w:rFonts w:ascii="Arial" w:hAnsi="Arial" w:cs="Arial"/>
                <w:sz w:val="20"/>
                <w:szCs w:val="20"/>
              </w:rPr>
              <w:t>(303)</w:t>
            </w:r>
          </w:p>
        </w:tc>
        <w:tc>
          <w:tcPr>
            <w:tcW w:w="1385" w:type="dxa"/>
            <w:shd w:val="clear" w:color="auto" w:fill="FFFFFF"/>
          </w:tcPr>
          <w:p w14:paraId="4F480F42" w14:textId="5A0165DA" w:rsidR="00335882" w:rsidRPr="003234C5" w:rsidRDefault="000331A1"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1A7E38B0" w14:textId="3BC74D79" w:rsidR="00335882" w:rsidRPr="003234C5" w:rsidRDefault="00B35901" w:rsidP="00335882">
            <w:pPr>
              <w:jc w:val="right"/>
              <w:rPr>
                <w:rFonts w:ascii="Arial" w:hAnsi="Arial" w:cs="Arial"/>
                <w:sz w:val="20"/>
                <w:szCs w:val="20"/>
              </w:rPr>
            </w:pPr>
            <w:r>
              <w:rPr>
                <w:rFonts w:ascii="Arial" w:hAnsi="Arial" w:cs="Arial"/>
                <w:sz w:val="20"/>
                <w:szCs w:val="20"/>
              </w:rPr>
              <w:t>1.544</w:t>
            </w:r>
          </w:p>
        </w:tc>
      </w:tr>
      <w:tr w:rsidR="00335882" w:rsidRPr="003234C5" w14:paraId="67279673" w14:textId="77777777" w:rsidTr="00371FB1">
        <w:trPr>
          <w:cantSplit/>
          <w:trHeight w:hRule="exact" w:val="276"/>
          <w:jc w:val="center"/>
        </w:trPr>
        <w:tc>
          <w:tcPr>
            <w:tcW w:w="2568" w:type="dxa"/>
            <w:shd w:val="clear" w:color="auto" w:fill="FFFFFF"/>
            <w:vAlign w:val="center"/>
          </w:tcPr>
          <w:p w14:paraId="08C39C7F"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Veículo Diretoria</w:t>
            </w:r>
          </w:p>
        </w:tc>
        <w:tc>
          <w:tcPr>
            <w:tcW w:w="1384" w:type="dxa"/>
            <w:shd w:val="clear" w:color="auto" w:fill="FFFFFF"/>
          </w:tcPr>
          <w:p w14:paraId="53575D1F" w14:textId="34BF6A34"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172</w:t>
            </w:r>
          </w:p>
        </w:tc>
        <w:tc>
          <w:tcPr>
            <w:tcW w:w="1114" w:type="dxa"/>
            <w:shd w:val="clear" w:color="auto" w:fill="FFFFFF"/>
          </w:tcPr>
          <w:p w14:paraId="599C55D0" w14:textId="2C3DBBC3" w:rsidR="00335882" w:rsidRPr="003234C5" w:rsidRDefault="00FD548B" w:rsidP="00335882">
            <w:pPr>
              <w:jc w:val="right"/>
              <w:rPr>
                <w:rFonts w:ascii="Arial" w:hAnsi="Arial" w:cs="Arial"/>
                <w:sz w:val="20"/>
                <w:szCs w:val="20"/>
              </w:rPr>
            </w:pPr>
            <w:r>
              <w:rPr>
                <w:rFonts w:ascii="Arial" w:hAnsi="Arial" w:cs="Arial"/>
                <w:sz w:val="20"/>
                <w:szCs w:val="20"/>
              </w:rPr>
              <w:t>-</w:t>
            </w:r>
          </w:p>
        </w:tc>
        <w:tc>
          <w:tcPr>
            <w:tcW w:w="1242" w:type="dxa"/>
            <w:shd w:val="clear" w:color="auto" w:fill="FFFFFF"/>
          </w:tcPr>
          <w:p w14:paraId="5D94E773" w14:textId="25F4D5A6" w:rsidR="00335882" w:rsidRPr="003234C5" w:rsidRDefault="00950697" w:rsidP="00335882">
            <w:pPr>
              <w:autoSpaceDE w:val="0"/>
              <w:autoSpaceDN w:val="0"/>
              <w:adjustRightInd w:val="0"/>
              <w:jc w:val="right"/>
              <w:rPr>
                <w:rFonts w:ascii="Arial" w:hAnsi="Arial" w:cs="Arial"/>
                <w:sz w:val="20"/>
                <w:szCs w:val="20"/>
              </w:rPr>
            </w:pPr>
            <w:r>
              <w:rPr>
                <w:rFonts w:ascii="Arial" w:hAnsi="Arial" w:cs="Arial"/>
                <w:sz w:val="20"/>
                <w:szCs w:val="20"/>
              </w:rPr>
              <w:t>(61)</w:t>
            </w:r>
          </w:p>
        </w:tc>
        <w:tc>
          <w:tcPr>
            <w:tcW w:w="1385" w:type="dxa"/>
            <w:shd w:val="clear" w:color="auto" w:fill="FFFFFF"/>
          </w:tcPr>
          <w:p w14:paraId="34800D48" w14:textId="0C8CBB4B" w:rsidR="00335882" w:rsidRPr="003234C5" w:rsidRDefault="00950697"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2F8A4937" w14:textId="1395A952" w:rsidR="00335882" w:rsidRPr="003234C5" w:rsidRDefault="00FD548B" w:rsidP="00335882">
            <w:pPr>
              <w:jc w:val="right"/>
              <w:rPr>
                <w:rFonts w:ascii="Arial" w:hAnsi="Arial" w:cs="Arial"/>
                <w:sz w:val="20"/>
                <w:szCs w:val="20"/>
              </w:rPr>
            </w:pPr>
            <w:r>
              <w:rPr>
                <w:rFonts w:ascii="Arial" w:hAnsi="Arial" w:cs="Arial"/>
                <w:sz w:val="20"/>
                <w:szCs w:val="20"/>
              </w:rPr>
              <w:t>111</w:t>
            </w:r>
          </w:p>
        </w:tc>
      </w:tr>
      <w:tr w:rsidR="00335882" w:rsidRPr="003234C5" w14:paraId="28606E2C" w14:textId="77777777" w:rsidTr="00371FB1">
        <w:trPr>
          <w:cantSplit/>
          <w:trHeight w:hRule="exact" w:val="276"/>
          <w:jc w:val="center"/>
        </w:trPr>
        <w:tc>
          <w:tcPr>
            <w:tcW w:w="2568" w:type="dxa"/>
            <w:shd w:val="clear" w:color="auto" w:fill="FFFFFF"/>
            <w:vAlign w:val="center"/>
          </w:tcPr>
          <w:p w14:paraId="74C3A0F3"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Veículos Trans. de Gás</w:t>
            </w:r>
          </w:p>
        </w:tc>
        <w:tc>
          <w:tcPr>
            <w:tcW w:w="1384" w:type="dxa"/>
            <w:shd w:val="clear" w:color="auto" w:fill="FFFFFF"/>
          </w:tcPr>
          <w:p w14:paraId="10028F0E" w14:textId="497DD140"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577</w:t>
            </w:r>
          </w:p>
        </w:tc>
        <w:tc>
          <w:tcPr>
            <w:tcW w:w="1114" w:type="dxa"/>
            <w:shd w:val="clear" w:color="auto" w:fill="FFFFFF"/>
          </w:tcPr>
          <w:p w14:paraId="4D36BA77" w14:textId="71612ED4" w:rsidR="00335882" w:rsidRPr="003234C5" w:rsidRDefault="00E16881" w:rsidP="00335882">
            <w:pPr>
              <w:jc w:val="right"/>
              <w:rPr>
                <w:rFonts w:ascii="Arial" w:hAnsi="Arial" w:cs="Arial"/>
                <w:sz w:val="20"/>
                <w:szCs w:val="20"/>
              </w:rPr>
            </w:pPr>
            <w:r>
              <w:rPr>
                <w:rFonts w:ascii="Arial" w:hAnsi="Arial" w:cs="Arial"/>
                <w:sz w:val="20"/>
                <w:szCs w:val="20"/>
              </w:rPr>
              <w:t>-</w:t>
            </w:r>
          </w:p>
        </w:tc>
        <w:tc>
          <w:tcPr>
            <w:tcW w:w="1242" w:type="dxa"/>
            <w:shd w:val="clear" w:color="auto" w:fill="FFFFFF"/>
          </w:tcPr>
          <w:p w14:paraId="479C51C7" w14:textId="384E6E1B" w:rsidR="00335882" w:rsidRPr="003234C5" w:rsidRDefault="00E16881"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52FA245F" w14:textId="33E2DBA6" w:rsidR="00335882" w:rsidRPr="003234C5" w:rsidRDefault="00E16881"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61522B9F" w14:textId="670735D7" w:rsidR="00335882" w:rsidRPr="003234C5" w:rsidRDefault="00E16881" w:rsidP="00335882">
            <w:pPr>
              <w:jc w:val="right"/>
              <w:rPr>
                <w:rFonts w:ascii="Arial" w:hAnsi="Arial" w:cs="Arial"/>
                <w:sz w:val="20"/>
                <w:szCs w:val="20"/>
              </w:rPr>
            </w:pPr>
            <w:r>
              <w:rPr>
                <w:rFonts w:ascii="Arial" w:hAnsi="Arial" w:cs="Arial"/>
                <w:sz w:val="20"/>
                <w:szCs w:val="20"/>
              </w:rPr>
              <w:t>577</w:t>
            </w:r>
          </w:p>
        </w:tc>
      </w:tr>
      <w:tr w:rsidR="00335882" w:rsidRPr="003234C5" w14:paraId="222F037B" w14:textId="77777777" w:rsidTr="00371FB1">
        <w:trPr>
          <w:cantSplit/>
          <w:trHeight w:hRule="exact" w:val="305"/>
          <w:jc w:val="center"/>
        </w:trPr>
        <w:tc>
          <w:tcPr>
            <w:tcW w:w="2568" w:type="dxa"/>
            <w:shd w:val="clear" w:color="auto" w:fill="FFFFFF"/>
            <w:vAlign w:val="center"/>
          </w:tcPr>
          <w:p w14:paraId="166F47AF" w14:textId="77777777" w:rsidR="00335882" w:rsidRPr="003234C5" w:rsidRDefault="00335882" w:rsidP="00335882">
            <w:pPr>
              <w:autoSpaceDE w:val="0"/>
              <w:autoSpaceDN w:val="0"/>
              <w:adjustRightInd w:val="0"/>
              <w:rPr>
                <w:rFonts w:ascii="Arial" w:hAnsi="Arial" w:cs="Arial"/>
                <w:sz w:val="20"/>
                <w:szCs w:val="20"/>
              </w:rPr>
            </w:pPr>
            <w:proofErr w:type="spellStart"/>
            <w:r w:rsidRPr="003234C5">
              <w:rPr>
                <w:rFonts w:ascii="Arial" w:hAnsi="Arial" w:cs="Arial"/>
                <w:sz w:val="20"/>
                <w:szCs w:val="20"/>
              </w:rPr>
              <w:t>Equip</w:t>
            </w:r>
            <w:proofErr w:type="spellEnd"/>
            <w:r w:rsidRPr="003234C5">
              <w:rPr>
                <w:rFonts w:ascii="Arial" w:hAnsi="Arial" w:cs="Arial"/>
                <w:sz w:val="20"/>
                <w:szCs w:val="20"/>
              </w:rPr>
              <w:t xml:space="preserve">. de </w:t>
            </w:r>
            <w:proofErr w:type="spellStart"/>
            <w:r w:rsidRPr="003234C5">
              <w:rPr>
                <w:rFonts w:ascii="Arial" w:hAnsi="Arial" w:cs="Arial"/>
                <w:sz w:val="20"/>
                <w:szCs w:val="20"/>
              </w:rPr>
              <w:t>Process</w:t>
            </w:r>
            <w:proofErr w:type="spellEnd"/>
            <w:r w:rsidRPr="003234C5">
              <w:rPr>
                <w:rFonts w:ascii="Arial" w:hAnsi="Arial" w:cs="Arial"/>
                <w:sz w:val="20"/>
                <w:szCs w:val="20"/>
              </w:rPr>
              <w:t>.</w:t>
            </w:r>
          </w:p>
        </w:tc>
        <w:tc>
          <w:tcPr>
            <w:tcW w:w="1384" w:type="dxa"/>
            <w:shd w:val="clear" w:color="auto" w:fill="FFFFFF"/>
          </w:tcPr>
          <w:p w14:paraId="461DB2CE" w14:textId="07949058"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2.142</w:t>
            </w:r>
          </w:p>
        </w:tc>
        <w:tc>
          <w:tcPr>
            <w:tcW w:w="1114" w:type="dxa"/>
            <w:shd w:val="clear" w:color="auto" w:fill="FFFFFF"/>
          </w:tcPr>
          <w:p w14:paraId="7C616572" w14:textId="0019F639" w:rsidR="00335882" w:rsidRPr="003234C5" w:rsidRDefault="00EE7AF7" w:rsidP="00335882">
            <w:pPr>
              <w:jc w:val="right"/>
              <w:rPr>
                <w:rFonts w:ascii="Arial" w:hAnsi="Arial" w:cs="Arial"/>
                <w:sz w:val="20"/>
                <w:szCs w:val="20"/>
              </w:rPr>
            </w:pPr>
            <w:r>
              <w:rPr>
                <w:rFonts w:ascii="Arial" w:hAnsi="Arial" w:cs="Arial"/>
                <w:sz w:val="20"/>
                <w:szCs w:val="20"/>
              </w:rPr>
              <w:t>48</w:t>
            </w:r>
          </w:p>
        </w:tc>
        <w:tc>
          <w:tcPr>
            <w:tcW w:w="1242" w:type="dxa"/>
            <w:shd w:val="clear" w:color="auto" w:fill="FFFFFF"/>
          </w:tcPr>
          <w:p w14:paraId="3F7DB3BC" w14:textId="7F079536" w:rsidR="00335882" w:rsidRPr="003234C5" w:rsidRDefault="00EE7AF7"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54650DBC" w14:textId="60F434C6" w:rsidR="00335882" w:rsidRPr="003234C5" w:rsidRDefault="00EE7AF7"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43CCC85A" w14:textId="6152AA76" w:rsidR="00335882" w:rsidRPr="003234C5" w:rsidRDefault="00EE7AF7" w:rsidP="00335882">
            <w:pPr>
              <w:jc w:val="right"/>
              <w:rPr>
                <w:rFonts w:ascii="Arial" w:hAnsi="Arial" w:cs="Arial"/>
                <w:sz w:val="20"/>
                <w:szCs w:val="20"/>
              </w:rPr>
            </w:pPr>
            <w:r>
              <w:rPr>
                <w:rFonts w:ascii="Arial" w:hAnsi="Arial" w:cs="Arial"/>
                <w:sz w:val="20"/>
                <w:szCs w:val="20"/>
              </w:rPr>
              <w:t>2.190</w:t>
            </w:r>
          </w:p>
        </w:tc>
      </w:tr>
      <w:tr w:rsidR="00335882" w:rsidRPr="003234C5" w14:paraId="307DD998" w14:textId="77777777" w:rsidTr="00371FB1">
        <w:trPr>
          <w:cantSplit/>
          <w:trHeight w:hRule="exact" w:val="268"/>
          <w:jc w:val="center"/>
        </w:trPr>
        <w:tc>
          <w:tcPr>
            <w:tcW w:w="2568" w:type="dxa"/>
            <w:shd w:val="clear" w:color="auto" w:fill="FFFFFF"/>
            <w:vAlign w:val="center"/>
          </w:tcPr>
          <w:p w14:paraId="00A556E9"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Rede de Distribuição</w:t>
            </w:r>
          </w:p>
        </w:tc>
        <w:tc>
          <w:tcPr>
            <w:tcW w:w="1384" w:type="dxa"/>
            <w:shd w:val="clear" w:color="auto" w:fill="FFFFFF"/>
          </w:tcPr>
          <w:p w14:paraId="6203D839" w14:textId="72BC5320"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170.720</w:t>
            </w:r>
          </w:p>
        </w:tc>
        <w:tc>
          <w:tcPr>
            <w:tcW w:w="1114" w:type="dxa"/>
            <w:shd w:val="clear" w:color="auto" w:fill="FFFFFF"/>
          </w:tcPr>
          <w:p w14:paraId="488AE9A9" w14:textId="7C6C791E" w:rsidR="00335882" w:rsidRPr="003234C5" w:rsidRDefault="00260E5D" w:rsidP="00335882">
            <w:pPr>
              <w:jc w:val="right"/>
              <w:rPr>
                <w:rFonts w:ascii="Arial" w:hAnsi="Arial" w:cs="Arial"/>
                <w:sz w:val="20"/>
                <w:szCs w:val="20"/>
              </w:rPr>
            </w:pPr>
            <w:r>
              <w:rPr>
                <w:rFonts w:ascii="Arial" w:hAnsi="Arial" w:cs="Arial"/>
                <w:sz w:val="20"/>
                <w:szCs w:val="20"/>
              </w:rPr>
              <w:t>964</w:t>
            </w:r>
          </w:p>
        </w:tc>
        <w:tc>
          <w:tcPr>
            <w:tcW w:w="1242" w:type="dxa"/>
            <w:shd w:val="clear" w:color="auto" w:fill="FFFFFF"/>
          </w:tcPr>
          <w:p w14:paraId="1432CD5E" w14:textId="51A5A623" w:rsidR="00335882" w:rsidRPr="003234C5" w:rsidRDefault="00260E5D" w:rsidP="00335882">
            <w:pPr>
              <w:jc w:val="right"/>
              <w:rPr>
                <w:rFonts w:ascii="Arial" w:hAnsi="Arial" w:cs="Arial"/>
                <w:sz w:val="20"/>
                <w:szCs w:val="20"/>
              </w:rPr>
            </w:pPr>
            <w:r>
              <w:rPr>
                <w:rFonts w:ascii="Arial" w:hAnsi="Arial" w:cs="Arial"/>
                <w:sz w:val="20"/>
                <w:szCs w:val="20"/>
              </w:rPr>
              <w:t>184</w:t>
            </w:r>
          </w:p>
        </w:tc>
        <w:tc>
          <w:tcPr>
            <w:tcW w:w="1385" w:type="dxa"/>
            <w:shd w:val="clear" w:color="auto" w:fill="FFFFFF"/>
          </w:tcPr>
          <w:p w14:paraId="7BFD41DF" w14:textId="11F7DE29" w:rsidR="00335882" w:rsidRPr="003234C5" w:rsidRDefault="00260E5D" w:rsidP="00335882">
            <w:pPr>
              <w:jc w:val="right"/>
              <w:rPr>
                <w:rFonts w:ascii="Arial" w:hAnsi="Arial" w:cs="Arial"/>
                <w:sz w:val="20"/>
                <w:szCs w:val="20"/>
              </w:rPr>
            </w:pPr>
            <w:r>
              <w:rPr>
                <w:rFonts w:ascii="Arial" w:hAnsi="Arial" w:cs="Arial"/>
                <w:sz w:val="20"/>
                <w:szCs w:val="20"/>
              </w:rPr>
              <w:t>2.261</w:t>
            </w:r>
          </w:p>
        </w:tc>
        <w:tc>
          <w:tcPr>
            <w:tcW w:w="1384" w:type="dxa"/>
            <w:shd w:val="clear" w:color="auto" w:fill="FFFFFF"/>
          </w:tcPr>
          <w:p w14:paraId="3DD50717" w14:textId="31E47DF8" w:rsidR="00335882" w:rsidRPr="003234C5" w:rsidRDefault="00260E5D" w:rsidP="00335882">
            <w:pPr>
              <w:jc w:val="right"/>
              <w:rPr>
                <w:rFonts w:ascii="Arial" w:hAnsi="Arial" w:cs="Arial"/>
                <w:sz w:val="20"/>
                <w:szCs w:val="20"/>
              </w:rPr>
            </w:pPr>
            <w:r>
              <w:rPr>
                <w:rFonts w:ascii="Arial" w:hAnsi="Arial" w:cs="Arial"/>
                <w:sz w:val="20"/>
                <w:szCs w:val="20"/>
              </w:rPr>
              <w:t>174.129</w:t>
            </w:r>
          </w:p>
        </w:tc>
      </w:tr>
      <w:tr w:rsidR="00335882" w:rsidRPr="003234C5" w14:paraId="26A0E00C" w14:textId="77777777" w:rsidTr="00371FB1">
        <w:trPr>
          <w:cantSplit/>
          <w:trHeight w:hRule="exact" w:val="276"/>
          <w:jc w:val="center"/>
        </w:trPr>
        <w:tc>
          <w:tcPr>
            <w:tcW w:w="2568" w:type="dxa"/>
            <w:shd w:val="clear" w:color="auto" w:fill="FFFFFF"/>
            <w:vAlign w:val="center"/>
          </w:tcPr>
          <w:p w14:paraId="671166B2" w14:textId="15BB9DAD"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M</w:t>
            </w:r>
            <w:r w:rsidR="00C322B0">
              <w:rPr>
                <w:rFonts w:ascii="Arial" w:hAnsi="Arial" w:cs="Arial"/>
                <w:sz w:val="20"/>
                <w:szCs w:val="20"/>
              </w:rPr>
              <w:t>á</w:t>
            </w:r>
            <w:r w:rsidRPr="003234C5">
              <w:rPr>
                <w:rFonts w:ascii="Arial" w:hAnsi="Arial" w:cs="Arial"/>
                <w:sz w:val="20"/>
                <w:szCs w:val="20"/>
              </w:rPr>
              <w:t>quinas Equipamentos</w:t>
            </w:r>
          </w:p>
        </w:tc>
        <w:tc>
          <w:tcPr>
            <w:tcW w:w="1384" w:type="dxa"/>
            <w:shd w:val="clear" w:color="auto" w:fill="FFFFFF"/>
          </w:tcPr>
          <w:p w14:paraId="219DA9A3" w14:textId="5D4E37D4"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4.047</w:t>
            </w:r>
          </w:p>
        </w:tc>
        <w:tc>
          <w:tcPr>
            <w:tcW w:w="1114" w:type="dxa"/>
            <w:shd w:val="clear" w:color="auto" w:fill="FFFFFF"/>
          </w:tcPr>
          <w:p w14:paraId="38818611" w14:textId="7378D6A3" w:rsidR="00335882" w:rsidRPr="003234C5" w:rsidRDefault="00B34C0A" w:rsidP="00335882">
            <w:pPr>
              <w:jc w:val="right"/>
              <w:rPr>
                <w:rFonts w:ascii="Arial" w:hAnsi="Arial" w:cs="Arial"/>
                <w:sz w:val="20"/>
                <w:szCs w:val="20"/>
              </w:rPr>
            </w:pPr>
            <w:r>
              <w:rPr>
                <w:rFonts w:ascii="Arial" w:hAnsi="Arial" w:cs="Arial"/>
                <w:sz w:val="20"/>
                <w:szCs w:val="20"/>
              </w:rPr>
              <w:t>487</w:t>
            </w:r>
          </w:p>
        </w:tc>
        <w:tc>
          <w:tcPr>
            <w:tcW w:w="1242" w:type="dxa"/>
            <w:shd w:val="clear" w:color="auto" w:fill="FFFFFF"/>
          </w:tcPr>
          <w:p w14:paraId="5C010853" w14:textId="603918E4" w:rsidR="00335882" w:rsidRPr="003234C5" w:rsidRDefault="00AB1C2B"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2EA9434D" w14:textId="42574215" w:rsidR="00335882" w:rsidRPr="003234C5" w:rsidRDefault="005E216E" w:rsidP="00335882">
            <w:pPr>
              <w:autoSpaceDE w:val="0"/>
              <w:autoSpaceDN w:val="0"/>
              <w:adjustRightInd w:val="0"/>
              <w:jc w:val="right"/>
              <w:rPr>
                <w:rFonts w:ascii="Arial" w:hAnsi="Arial" w:cs="Arial"/>
                <w:sz w:val="20"/>
                <w:szCs w:val="20"/>
              </w:rPr>
            </w:pPr>
            <w:r>
              <w:rPr>
                <w:rFonts w:ascii="Arial" w:hAnsi="Arial" w:cs="Arial"/>
                <w:sz w:val="20"/>
                <w:szCs w:val="20"/>
              </w:rPr>
              <w:t>57</w:t>
            </w:r>
          </w:p>
        </w:tc>
        <w:tc>
          <w:tcPr>
            <w:tcW w:w="1384" w:type="dxa"/>
            <w:shd w:val="clear" w:color="auto" w:fill="FFFFFF"/>
          </w:tcPr>
          <w:p w14:paraId="2E87B113" w14:textId="0F917684" w:rsidR="00335882" w:rsidRPr="003234C5" w:rsidRDefault="005E216E" w:rsidP="00335882">
            <w:pPr>
              <w:jc w:val="right"/>
              <w:rPr>
                <w:rFonts w:ascii="Arial" w:hAnsi="Arial" w:cs="Arial"/>
                <w:sz w:val="20"/>
                <w:szCs w:val="20"/>
              </w:rPr>
            </w:pPr>
            <w:r>
              <w:rPr>
                <w:rFonts w:ascii="Arial" w:hAnsi="Arial" w:cs="Arial"/>
                <w:sz w:val="20"/>
                <w:szCs w:val="20"/>
              </w:rPr>
              <w:t>4.591</w:t>
            </w:r>
          </w:p>
        </w:tc>
      </w:tr>
      <w:tr w:rsidR="00335882" w:rsidRPr="003234C5" w14:paraId="7A2A0F84" w14:textId="77777777" w:rsidTr="00371FB1">
        <w:trPr>
          <w:cantSplit/>
          <w:trHeight w:hRule="exact" w:val="276"/>
          <w:jc w:val="center"/>
        </w:trPr>
        <w:tc>
          <w:tcPr>
            <w:tcW w:w="2568" w:type="dxa"/>
            <w:shd w:val="clear" w:color="auto" w:fill="FFFFFF"/>
            <w:vAlign w:val="center"/>
          </w:tcPr>
          <w:p w14:paraId="04C00467"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Benfeitoria em Imóveis</w:t>
            </w:r>
          </w:p>
        </w:tc>
        <w:tc>
          <w:tcPr>
            <w:tcW w:w="1384" w:type="dxa"/>
            <w:shd w:val="clear" w:color="auto" w:fill="FFFFFF"/>
          </w:tcPr>
          <w:p w14:paraId="5575A74D" w14:textId="72927CEF"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436</w:t>
            </w:r>
          </w:p>
        </w:tc>
        <w:tc>
          <w:tcPr>
            <w:tcW w:w="1114" w:type="dxa"/>
            <w:shd w:val="clear" w:color="auto" w:fill="FFFFFF"/>
          </w:tcPr>
          <w:p w14:paraId="1DA0248B" w14:textId="6F3AA5BC" w:rsidR="00335882" w:rsidRPr="003234C5" w:rsidRDefault="005E216E" w:rsidP="00335882">
            <w:pPr>
              <w:jc w:val="right"/>
              <w:rPr>
                <w:rFonts w:ascii="Arial" w:hAnsi="Arial" w:cs="Arial"/>
                <w:sz w:val="20"/>
                <w:szCs w:val="20"/>
              </w:rPr>
            </w:pPr>
            <w:r>
              <w:rPr>
                <w:rFonts w:ascii="Arial" w:hAnsi="Arial" w:cs="Arial"/>
                <w:sz w:val="20"/>
                <w:szCs w:val="20"/>
              </w:rPr>
              <w:t>95</w:t>
            </w:r>
          </w:p>
        </w:tc>
        <w:tc>
          <w:tcPr>
            <w:tcW w:w="1242" w:type="dxa"/>
            <w:shd w:val="clear" w:color="auto" w:fill="FFFFFF"/>
          </w:tcPr>
          <w:p w14:paraId="23A6ADBB" w14:textId="37F50CDE" w:rsidR="00335882" w:rsidRPr="003234C5" w:rsidRDefault="005E216E"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4C63B27A" w14:textId="4EFB65F5" w:rsidR="00335882" w:rsidRPr="003234C5" w:rsidRDefault="005E216E"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27C2E077" w14:textId="2221707C" w:rsidR="00335882" w:rsidRPr="003234C5" w:rsidRDefault="005E216E" w:rsidP="00335882">
            <w:pPr>
              <w:jc w:val="right"/>
              <w:rPr>
                <w:rFonts w:ascii="Arial" w:hAnsi="Arial" w:cs="Arial"/>
                <w:sz w:val="20"/>
                <w:szCs w:val="20"/>
              </w:rPr>
            </w:pPr>
            <w:r>
              <w:rPr>
                <w:rFonts w:ascii="Arial" w:hAnsi="Arial" w:cs="Arial"/>
                <w:sz w:val="20"/>
                <w:szCs w:val="20"/>
              </w:rPr>
              <w:t>531</w:t>
            </w:r>
          </w:p>
        </w:tc>
      </w:tr>
      <w:tr w:rsidR="00335882" w:rsidRPr="003234C5" w14:paraId="7C470FB7" w14:textId="77777777" w:rsidTr="00371FB1">
        <w:trPr>
          <w:cantSplit/>
          <w:trHeight w:hRule="exact" w:val="276"/>
          <w:jc w:val="center"/>
        </w:trPr>
        <w:tc>
          <w:tcPr>
            <w:tcW w:w="2568" w:type="dxa"/>
            <w:shd w:val="clear" w:color="auto" w:fill="FFFFFF"/>
            <w:vAlign w:val="center"/>
          </w:tcPr>
          <w:p w14:paraId="3AA23670"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 xml:space="preserve">Softwares </w:t>
            </w:r>
          </w:p>
        </w:tc>
        <w:tc>
          <w:tcPr>
            <w:tcW w:w="1384" w:type="dxa"/>
            <w:shd w:val="clear" w:color="auto" w:fill="FFFFFF"/>
          </w:tcPr>
          <w:p w14:paraId="7C0F2759" w14:textId="2C040748"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9.742</w:t>
            </w:r>
          </w:p>
        </w:tc>
        <w:tc>
          <w:tcPr>
            <w:tcW w:w="1114" w:type="dxa"/>
            <w:shd w:val="clear" w:color="auto" w:fill="FFFFFF"/>
          </w:tcPr>
          <w:p w14:paraId="6C65782A" w14:textId="38A2E422" w:rsidR="00335882" w:rsidRPr="003234C5" w:rsidRDefault="005E216E" w:rsidP="00335882">
            <w:pPr>
              <w:jc w:val="right"/>
              <w:rPr>
                <w:rFonts w:ascii="Arial" w:hAnsi="Arial" w:cs="Arial"/>
                <w:sz w:val="20"/>
                <w:szCs w:val="20"/>
              </w:rPr>
            </w:pPr>
            <w:r>
              <w:rPr>
                <w:rFonts w:ascii="Arial" w:hAnsi="Arial" w:cs="Arial"/>
                <w:sz w:val="20"/>
                <w:szCs w:val="20"/>
              </w:rPr>
              <w:t>515</w:t>
            </w:r>
          </w:p>
        </w:tc>
        <w:tc>
          <w:tcPr>
            <w:tcW w:w="1242" w:type="dxa"/>
            <w:shd w:val="clear" w:color="auto" w:fill="FFFFFF"/>
          </w:tcPr>
          <w:p w14:paraId="0BBFE6C3" w14:textId="5C16B7BA" w:rsidR="00335882" w:rsidRPr="003234C5" w:rsidRDefault="005E216E"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5C0471EC" w14:textId="6E93506E" w:rsidR="00335882" w:rsidRPr="003234C5" w:rsidRDefault="005E216E"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31935595" w14:textId="375C5B0D" w:rsidR="00335882" w:rsidRPr="003234C5" w:rsidRDefault="005E216E" w:rsidP="00335882">
            <w:pPr>
              <w:jc w:val="right"/>
              <w:rPr>
                <w:rFonts w:ascii="Arial" w:hAnsi="Arial" w:cs="Arial"/>
                <w:sz w:val="20"/>
                <w:szCs w:val="20"/>
              </w:rPr>
            </w:pPr>
            <w:r>
              <w:rPr>
                <w:rFonts w:ascii="Arial" w:hAnsi="Arial" w:cs="Arial"/>
                <w:sz w:val="20"/>
                <w:szCs w:val="20"/>
              </w:rPr>
              <w:t>10.257</w:t>
            </w:r>
          </w:p>
        </w:tc>
      </w:tr>
      <w:tr w:rsidR="00335882" w:rsidRPr="003234C5" w14:paraId="1BFFB0FC" w14:textId="77777777" w:rsidTr="00371FB1">
        <w:trPr>
          <w:cantSplit/>
          <w:trHeight w:hRule="exact" w:val="276"/>
          <w:jc w:val="center"/>
        </w:trPr>
        <w:tc>
          <w:tcPr>
            <w:tcW w:w="2568" w:type="dxa"/>
            <w:shd w:val="clear" w:color="auto" w:fill="FFFFFF"/>
            <w:vAlign w:val="center"/>
          </w:tcPr>
          <w:p w14:paraId="4D32D079"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Manual de rotinas ARCE</w:t>
            </w:r>
          </w:p>
        </w:tc>
        <w:tc>
          <w:tcPr>
            <w:tcW w:w="1384" w:type="dxa"/>
            <w:shd w:val="clear" w:color="auto" w:fill="FFFFFF"/>
          </w:tcPr>
          <w:p w14:paraId="31748880" w14:textId="153CE848"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50</w:t>
            </w:r>
          </w:p>
        </w:tc>
        <w:tc>
          <w:tcPr>
            <w:tcW w:w="1114" w:type="dxa"/>
            <w:shd w:val="clear" w:color="auto" w:fill="FFFFFF"/>
          </w:tcPr>
          <w:p w14:paraId="5EA56878" w14:textId="1AAD57FF" w:rsidR="00335882" w:rsidRPr="003234C5" w:rsidRDefault="008A06AF" w:rsidP="00335882">
            <w:pPr>
              <w:jc w:val="right"/>
              <w:rPr>
                <w:rFonts w:ascii="Arial" w:hAnsi="Arial" w:cs="Arial"/>
                <w:sz w:val="20"/>
                <w:szCs w:val="20"/>
              </w:rPr>
            </w:pPr>
            <w:r>
              <w:rPr>
                <w:rFonts w:ascii="Arial" w:hAnsi="Arial" w:cs="Arial"/>
                <w:sz w:val="20"/>
                <w:szCs w:val="20"/>
              </w:rPr>
              <w:t>-</w:t>
            </w:r>
          </w:p>
        </w:tc>
        <w:tc>
          <w:tcPr>
            <w:tcW w:w="1242" w:type="dxa"/>
            <w:shd w:val="clear" w:color="auto" w:fill="FFFFFF"/>
          </w:tcPr>
          <w:p w14:paraId="0AA5B8DC" w14:textId="07159108" w:rsidR="00335882" w:rsidRPr="003234C5" w:rsidRDefault="008A06AF"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12B18DAA" w14:textId="616986A4" w:rsidR="00335882" w:rsidRPr="003234C5" w:rsidRDefault="008A06AF"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40948002" w14:textId="68E44D67" w:rsidR="00335882" w:rsidRPr="003234C5" w:rsidRDefault="008A06AF" w:rsidP="00335882">
            <w:pPr>
              <w:jc w:val="right"/>
              <w:rPr>
                <w:rFonts w:ascii="Arial" w:hAnsi="Arial" w:cs="Arial"/>
                <w:sz w:val="20"/>
                <w:szCs w:val="20"/>
              </w:rPr>
            </w:pPr>
            <w:r>
              <w:rPr>
                <w:rFonts w:ascii="Arial" w:hAnsi="Arial" w:cs="Arial"/>
                <w:sz w:val="20"/>
                <w:szCs w:val="20"/>
              </w:rPr>
              <w:t>50</w:t>
            </w:r>
          </w:p>
        </w:tc>
      </w:tr>
      <w:tr w:rsidR="00335882" w:rsidRPr="003234C5" w14:paraId="29DF4E65" w14:textId="77777777" w:rsidTr="00371FB1">
        <w:trPr>
          <w:cantSplit/>
          <w:trHeight w:hRule="exact" w:val="276"/>
          <w:jc w:val="center"/>
        </w:trPr>
        <w:tc>
          <w:tcPr>
            <w:tcW w:w="2568" w:type="dxa"/>
            <w:shd w:val="clear" w:color="auto" w:fill="FFFFFF"/>
            <w:vAlign w:val="center"/>
          </w:tcPr>
          <w:p w14:paraId="3B35685F" w14:textId="4EEDB2C8"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 xml:space="preserve">Rede de </w:t>
            </w:r>
            <w:proofErr w:type="spellStart"/>
            <w:r w:rsidRPr="003234C5">
              <w:rPr>
                <w:rFonts w:ascii="Arial" w:hAnsi="Arial" w:cs="Arial"/>
                <w:sz w:val="20"/>
                <w:szCs w:val="20"/>
              </w:rPr>
              <w:t>Distrib</w:t>
            </w:r>
            <w:proofErr w:type="spellEnd"/>
            <w:r w:rsidRPr="003234C5">
              <w:rPr>
                <w:rFonts w:ascii="Arial" w:hAnsi="Arial" w:cs="Arial"/>
                <w:sz w:val="20"/>
                <w:szCs w:val="20"/>
              </w:rPr>
              <w:t>. -</w:t>
            </w:r>
            <w:proofErr w:type="spellStart"/>
            <w:proofErr w:type="gramStart"/>
            <w:r w:rsidR="008A06AF">
              <w:rPr>
                <w:rFonts w:ascii="Arial" w:hAnsi="Arial" w:cs="Arial"/>
                <w:sz w:val="20"/>
                <w:szCs w:val="20"/>
              </w:rPr>
              <w:t>te</w:t>
            </w:r>
            <w:r w:rsidRPr="003234C5">
              <w:rPr>
                <w:rFonts w:ascii="Arial" w:hAnsi="Arial" w:cs="Arial"/>
                <w:sz w:val="20"/>
                <w:szCs w:val="20"/>
              </w:rPr>
              <w:t>Terceiros</w:t>
            </w:r>
            <w:proofErr w:type="spellEnd"/>
            <w:proofErr w:type="gramEnd"/>
          </w:p>
        </w:tc>
        <w:tc>
          <w:tcPr>
            <w:tcW w:w="1384" w:type="dxa"/>
            <w:shd w:val="clear" w:color="auto" w:fill="FFFFFF"/>
          </w:tcPr>
          <w:p w14:paraId="0AF1E087" w14:textId="1CA9D278" w:rsidR="00335882" w:rsidRPr="003234C5" w:rsidRDefault="00335882" w:rsidP="00335882">
            <w:pPr>
              <w:autoSpaceDE w:val="0"/>
              <w:autoSpaceDN w:val="0"/>
              <w:adjustRightInd w:val="0"/>
              <w:jc w:val="right"/>
              <w:rPr>
                <w:rFonts w:ascii="Arial" w:hAnsi="Arial" w:cs="Arial"/>
                <w:sz w:val="20"/>
                <w:szCs w:val="20"/>
              </w:rPr>
            </w:pPr>
            <w:r w:rsidRPr="003234C5">
              <w:rPr>
                <w:rFonts w:ascii="Arial" w:hAnsi="Arial" w:cs="Arial"/>
                <w:sz w:val="20"/>
                <w:szCs w:val="20"/>
              </w:rPr>
              <w:t>76</w:t>
            </w:r>
          </w:p>
        </w:tc>
        <w:tc>
          <w:tcPr>
            <w:tcW w:w="1114" w:type="dxa"/>
            <w:shd w:val="clear" w:color="auto" w:fill="FFFFFF"/>
          </w:tcPr>
          <w:p w14:paraId="7C3F509D" w14:textId="62CBDB44" w:rsidR="00335882" w:rsidRPr="003234C5" w:rsidRDefault="008A06AF" w:rsidP="00335882">
            <w:pPr>
              <w:jc w:val="right"/>
              <w:rPr>
                <w:rFonts w:ascii="Arial" w:hAnsi="Arial" w:cs="Arial"/>
                <w:sz w:val="20"/>
                <w:szCs w:val="20"/>
              </w:rPr>
            </w:pPr>
            <w:r>
              <w:rPr>
                <w:rFonts w:ascii="Arial" w:hAnsi="Arial" w:cs="Arial"/>
                <w:sz w:val="20"/>
                <w:szCs w:val="20"/>
              </w:rPr>
              <w:t>-</w:t>
            </w:r>
          </w:p>
        </w:tc>
        <w:tc>
          <w:tcPr>
            <w:tcW w:w="1242" w:type="dxa"/>
            <w:shd w:val="clear" w:color="auto" w:fill="FFFFFF"/>
          </w:tcPr>
          <w:p w14:paraId="2404925F" w14:textId="41A79A24" w:rsidR="00335882" w:rsidRPr="003234C5" w:rsidRDefault="008A06AF"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5" w:type="dxa"/>
            <w:shd w:val="clear" w:color="auto" w:fill="FFFFFF"/>
          </w:tcPr>
          <w:p w14:paraId="5E6FF963" w14:textId="55D13A22" w:rsidR="00335882" w:rsidRPr="003234C5" w:rsidRDefault="008A06AF"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84" w:type="dxa"/>
            <w:shd w:val="clear" w:color="auto" w:fill="FFFFFF"/>
          </w:tcPr>
          <w:p w14:paraId="08BF319F" w14:textId="3A5B54F0" w:rsidR="00335882" w:rsidRPr="003234C5" w:rsidRDefault="008A06AF" w:rsidP="00335882">
            <w:pPr>
              <w:jc w:val="right"/>
              <w:rPr>
                <w:rFonts w:ascii="Arial" w:hAnsi="Arial" w:cs="Arial"/>
                <w:sz w:val="20"/>
                <w:szCs w:val="20"/>
              </w:rPr>
            </w:pPr>
            <w:r>
              <w:rPr>
                <w:rFonts w:ascii="Arial" w:hAnsi="Arial" w:cs="Arial"/>
                <w:sz w:val="20"/>
                <w:szCs w:val="20"/>
              </w:rPr>
              <w:t>76</w:t>
            </w:r>
          </w:p>
        </w:tc>
      </w:tr>
      <w:tr w:rsidR="00335882" w:rsidRPr="003234C5" w14:paraId="3F9B10C7" w14:textId="77777777" w:rsidTr="00371FB1">
        <w:trPr>
          <w:cantSplit/>
          <w:trHeight w:hRule="exact" w:val="276"/>
          <w:jc w:val="center"/>
        </w:trPr>
        <w:tc>
          <w:tcPr>
            <w:tcW w:w="2568" w:type="dxa"/>
            <w:shd w:val="clear" w:color="auto" w:fill="FFFFFF"/>
            <w:vAlign w:val="center"/>
          </w:tcPr>
          <w:p w14:paraId="76CF43EB"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Obras em andamento</w:t>
            </w:r>
          </w:p>
        </w:tc>
        <w:tc>
          <w:tcPr>
            <w:tcW w:w="1384" w:type="dxa"/>
            <w:shd w:val="clear" w:color="auto" w:fill="FFFFFF"/>
          </w:tcPr>
          <w:p w14:paraId="086D764D" w14:textId="1E3D9250" w:rsidR="00335882" w:rsidRPr="003234C5" w:rsidRDefault="00335882" w:rsidP="00335882">
            <w:pPr>
              <w:jc w:val="right"/>
              <w:rPr>
                <w:rFonts w:ascii="Arial" w:hAnsi="Arial" w:cs="Arial"/>
                <w:sz w:val="20"/>
                <w:szCs w:val="20"/>
              </w:rPr>
            </w:pPr>
            <w:r w:rsidRPr="003234C5">
              <w:rPr>
                <w:rFonts w:ascii="Arial" w:hAnsi="Arial" w:cs="Arial"/>
                <w:sz w:val="20"/>
                <w:szCs w:val="20"/>
              </w:rPr>
              <w:t>18.429</w:t>
            </w:r>
          </w:p>
        </w:tc>
        <w:tc>
          <w:tcPr>
            <w:tcW w:w="1114" w:type="dxa"/>
            <w:shd w:val="clear" w:color="auto" w:fill="FFFFFF"/>
          </w:tcPr>
          <w:p w14:paraId="6A60190C" w14:textId="2BEEE654" w:rsidR="00335882" w:rsidRPr="003234C5" w:rsidRDefault="00DA0514" w:rsidP="00335882">
            <w:pPr>
              <w:jc w:val="right"/>
              <w:rPr>
                <w:rFonts w:ascii="Arial" w:hAnsi="Arial" w:cs="Arial"/>
                <w:sz w:val="20"/>
                <w:szCs w:val="20"/>
              </w:rPr>
            </w:pPr>
            <w:r>
              <w:rPr>
                <w:rFonts w:ascii="Arial" w:hAnsi="Arial" w:cs="Arial"/>
                <w:sz w:val="20"/>
                <w:szCs w:val="20"/>
              </w:rPr>
              <w:t>20.776</w:t>
            </w:r>
          </w:p>
        </w:tc>
        <w:tc>
          <w:tcPr>
            <w:tcW w:w="1242" w:type="dxa"/>
            <w:shd w:val="clear" w:color="auto" w:fill="FFFFFF"/>
          </w:tcPr>
          <w:p w14:paraId="03ADE097" w14:textId="0BC92432" w:rsidR="00335882" w:rsidRPr="003234C5" w:rsidRDefault="00DA0514" w:rsidP="00335882">
            <w:pPr>
              <w:autoSpaceDE w:val="0"/>
              <w:autoSpaceDN w:val="0"/>
              <w:adjustRightInd w:val="0"/>
              <w:jc w:val="right"/>
              <w:rPr>
                <w:rFonts w:ascii="Arial" w:hAnsi="Arial" w:cs="Arial"/>
                <w:sz w:val="20"/>
                <w:szCs w:val="20"/>
              </w:rPr>
            </w:pPr>
            <w:r>
              <w:rPr>
                <w:rFonts w:ascii="Arial" w:hAnsi="Arial" w:cs="Arial"/>
                <w:sz w:val="20"/>
                <w:szCs w:val="20"/>
              </w:rPr>
              <w:t>(1.286)</w:t>
            </w:r>
          </w:p>
        </w:tc>
        <w:tc>
          <w:tcPr>
            <w:tcW w:w="1385" w:type="dxa"/>
            <w:shd w:val="clear" w:color="auto" w:fill="FFFFFF"/>
          </w:tcPr>
          <w:p w14:paraId="408DC4AA" w14:textId="64140BFE" w:rsidR="00335882" w:rsidRPr="003234C5" w:rsidRDefault="00DA0514" w:rsidP="00335882">
            <w:pPr>
              <w:autoSpaceDE w:val="0"/>
              <w:autoSpaceDN w:val="0"/>
              <w:adjustRightInd w:val="0"/>
              <w:jc w:val="right"/>
              <w:rPr>
                <w:rFonts w:ascii="Arial" w:hAnsi="Arial" w:cs="Arial"/>
                <w:sz w:val="20"/>
                <w:szCs w:val="20"/>
              </w:rPr>
            </w:pPr>
            <w:r>
              <w:rPr>
                <w:rFonts w:ascii="Arial" w:hAnsi="Arial" w:cs="Arial"/>
                <w:sz w:val="20"/>
                <w:szCs w:val="20"/>
              </w:rPr>
              <w:t>(2.124)</w:t>
            </w:r>
          </w:p>
        </w:tc>
        <w:tc>
          <w:tcPr>
            <w:tcW w:w="1384" w:type="dxa"/>
            <w:shd w:val="clear" w:color="auto" w:fill="FFFFFF"/>
          </w:tcPr>
          <w:p w14:paraId="19BE965C" w14:textId="7456A751" w:rsidR="00335882" w:rsidRPr="003234C5" w:rsidRDefault="00DA0514" w:rsidP="00335882">
            <w:pPr>
              <w:jc w:val="right"/>
              <w:rPr>
                <w:rFonts w:ascii="Arial" w:hAnsi="Arial" w:cs="Arial"/>
                <w:sz w:val="20"/>
                <w:szCs w:val="20"/>
              </w:rPr>
            </w:pPr>
            <w:r>
              <w:rPr>
                <w:rFonts w:ascii="Arial" w:hAnsi="Arial" w:cs="Arial"/>
                <w:sz w:val="20"/>
                <w:szCs w:val="20"/>
              </w:rPr>
              <w:t>35.795</w:t>
            </w:r>
          </w:p>
        </w:tc>
      </w:tr>
      <w:tr w:rsidR="00335882" w:rsidRPr="003234C5" w14:paraId="3A3B63B6" w14:textId="77777777" w:rsidTr="00371FB1">
        <w:trPr>
          <w:cantSplit/>
          <w:trHeight w:hRule="exact" w:val="276"/>
          <w:jc w:val="center"/>
        </w:trPr>
        <w:tc>
          <w:tcPr>
            <w:tcW w:w="2568" w:type="dxa"/>
            <w:shd w:val="clear" w:color="auto" w:fill="BFBFBF"/>
            <w:vAlign w:val="center"/>
          </w:tcPr>
          <w:p w14:paraId="3ADF7577" w14:textId="77777777" w:rsidR="00335882" w:rsidRPr="003234C5" w:rsidRDefault="00335882" w:rsidP="00335882">
            <w:pPr>
              <w:autoSpaceDE w:val="0"/>
              <w:autoSpaceDN w:val="0"/>
              <w:adjustRightInd w:val="0"/>
              <w:jc w:val="both"/>
              <w:rPr>
                <w:rFonts w:ascii="Arial" w:hAnsi="Arial" w:cs="Arial"/>
                <w:b/>
                <w:sz w:val="20"/>
                <w:szCs w:val="20"/>
              </w:rPr>
            </w:pPr>
            <w:r w:rsidRPr="003234C5">
              <w:rPr>
                <w:rFonts w:ascii="Arial" w:hAnsi="Arial" w:cs="Arial"/>
                <w:b/>
                <w:sz w:val="20"/>
                <w:szCs w:val="20"/>
              </w:rPr>
              <w:t>TOTAIS</w:t>
            </w:r>
          </w:p>
        </w:tc>
        <w:tc>
          <w:tcPr>
            <w:tcW w:w="1384" w:type="dxa"/>
            <w:shd w:val="clear" w:color="auto" w:fill="BFBFBF"/>
          </w:tcPr>
          <w:p w14:paraId="29AA2189" w14:textId="56721106" w:rsidR="00335882" w:rsidRPr="003234C5" w:rsidRDefault="00335882" w:rsidP="00335882">
            <w:pPr>
              <w:autoSpaceDE w:val="0"/>
              <w:autoSpaceDN w:val="0"/>
              <w:adjustRightInd w:val="0"/>
              <w:jc w:val="right"/>
              <w:rPr>
                <w:rFonts w:ascii="Arial" w:hAnsi="Arial" w:cs="Arial"/>
                <w:b/>
                <w:sz w:val="20"/>
                <w:szCs w:val="20"/>
              </w:rPr>
            </w:pPr>
            <w:r w:rsidRPr="003234C5">
              <w:rPr>
                <w:rFonts w:ascii="Arial" w:hAnsi="Arial" w:cs="Arial"/>
                <w:b/>
                <w:sz w:val="20"/>
                <w:szCs w:val="20"/>
              </w:rPr>
              <w:t>213.290</w:t>
            </w:r>
          </w:p>
        </w:tc>
        <w:tc>
          <w:tcPr>
            <w:tcW w:w="1114" w:type="dxa"/>
            <w:shd w:val="clear" w:color="auto" w:fill="BFBFBF"/>
          </w:tcPr>
          <w:p w14:paraId="7ED54D4C" w14:textId="2489B0B4" w:rsidR="00335882" w:rsidRPr="003234C5" w:rsidRDefault="000C1989" w:rsidP="00335882">
            <w:pPr>
              <w:autoSpaceDE w:val="0"/>
              <w:autoSpaceDN w:val="0"/>
              <w:adjustRightInd w:val="0"/>
              <w:jc w:val="right"/>
              <w:rPr>
                <w:rFonts w:ascii="Arial" w:hAnsi="Arial" w:cs="Arial"/>
                <w:b/>
                <w:bCs/>
                <w:sz w:val="20"/>
                <w:szCs w:val="20"/>
              </w:rPr>
            </w:pPr>
            <w:r>
              <w:rPr>
                <w:rFonts w:ascii="Arial" w:hAnsi="Arial" w:cs="Arial"/>
                <w:b/>
                <w:bCs/>
                <w:sz w:val="20"/>
                <w:szCs w:val="20"/>
              </w:rPr>
              <w:t>23.944</w:t>
            </w:r>
          </w:p>
        </w:tc>
        <w:tc>
          <w:tcPr>
            <w:tcW w:w="1242" w:type="dxa"/>
            <w:shd w:val="clear" w:color="auto" w:fill="BFBFBF"/>
          </w:tcPr>
          <w:p w14:paraId="58035638" w14:textId="2CC02F6F" w:rsidR="00335882" w:rsidRPr="003234C5" w:rsidRDefault="00DA0514" w:rsidP="00335882">
            <w:pPr>
              <w:autoSpaceDE w:val="0"/>
              <w:autoSpaceDN w:val="0"/>
              <w:adjustRightInd w:val="0"/>
              <w:jc w:val="right"/>
              <w:rPr>
                <w:rFonts w:ascii="Arial" w:hAnsi="Arial" w:cs="Arial"/>
                <w:b/>
                <w:bCs/>
                <w:sz w:val="20"/>
                <w:szCs w:val="20"/>
              </w:rPr>
            </w:pPr>
            <w:r>
              <w:rPr>
                <w:rFonts w:ascii="Arial" w:hAnsi="Arial" w:cs="Arial"/>
                <w:b/>
                <w:bCs/>
                <w:sz w:val="20"/>
                <w:szCs w:val="20"/>
              </w:rPr>
              <w:t>(1.466)</w:t>
            </w:r>
          </w:p>
        </w:tc>
        <w:tc>
          <w:tcPr>
            <w:tcW w:w="1385" w:type="dxa"/>
            <w:shd w:val="clear" w:color="auto" w:fill="BFBFBF"/>
          </w:tcPr>
          <w:p w14:paraId="130F74B1" w14:textId="1BA3DD36" w:rsidR="00335882" w:rsidRPr="003234C5" w:rsidRDefault="000C1989" w:rsidP="00335882">
            <w:pPr>
              <w:autoSpaceDE w:val="0"/>
              <w:autoSpaceDN w:val="0"/>
              <w:adjustRightInd w:val="0"/>
              <w:jc w:val="right"/>
              <w:rPr>
                <w:rFonts w:ascii="Arial" w:hAnsi="Arial" w:cs="Arial"/>
                <w:b/>
                <w:bCs/>
                <w:sz w:val="20"/>
                <w:szCs w:val="20"/>
              </w:rPr>
            </w:pPr>
            <w:r>
              <w:rPr>
                <w:rFonts w:ascii="Arial" w:hAnsi="Arial" w:cs="Arial"/>
                <w:b/>
                <w:bCs/>
                <w:sz w:val="20"/>
                <w:szCs w:val="20"/>
              </w:rPr>
              <w:t>194</w:t>
            </w:r>
          </w:p>
        </w:tc>
        <w:tc>
          <w:tcPr>
            <w:tcW w:w="1384" w:type="dxa"/>
            <w:shd w:val="clear" w:color="auto" w:fill="BFBFBF"/>
          </w:tcPr>
          <w:p w14:paraId="52FC75AE" w14:textId="4742F206" w:rsidR="00335882" w:rsidRPr="003234C5" w:rsidRDefault="008F6218" w:rsidP="00335882">
            <w:pPr>
              <w:autoSpaceDE w:val="0"/>
              <w:autoSpaceDN w:val="0"/>
              <w:adjustRightInd w:val="0"/>
              <w:jc w:val="right"/>
              <w:rPr>
                <w:rFonts w:ascii="Arial" w:hAnsi="Arial" w:cs="Arial"/>
                <w:b/>
                <w:bCs/>
                <w:sz w:val="20"/>
                <w:szCs w:val="20"/>
              </w:rPr>
            </w:pPr>
            <w:r>
              <w:rPr>
                <w:rFonts w:ascii="Arial" w:hAnsi="Arial" w:cs="Arial"/>
                <w:b/>
                <w:bCs/>
                <w:sz w:val="20"/>
                <w:szCs w:val="20"/>
              </w:rPr>
              <w:t>235.962</w:t>
            </w:r>
          </w:p>
        </w:tc>
      </w:tr>
    </w:tbl>
    <w:p w14:paraId="400FC464" w14:textId="77777777" w:rsidR="00C62487" w:rsidRPr="003234C5" w:rsidRDefault="00C62487" w:rsidP="00200682">
      <w:pPr>
        <w:widowControl w:val="0"/>
        <w:spacing w:after="120"/>
        <w:jc w:val="both"/>
        <w:rPr>
          <w:rFonts w:ascii="Arial" w:hAnsi="Arial" w:cs="Arial"/>
          <w:sz w:val="24"/>
          <w:szCs w:val="2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1348"/>
        <w:gridCol w:w="1295"/>
        <w:gridCol w:w="1348"/>
        <w:gridCol w:w="1348"/>
        <w:gridCol w:w="1352"/>
      </w:tblGrid>
      <w:tr w:rsidR="00420EC7" w:rsidRPr="003234C5" w14:paraId="71C42094" w14:textId="77777777" w:rsidTr="00492DEB">
        <w:trPr>
          <w:cantSplit/>
          <w:trHeight w:hRule="exact" w:val="555"/>
          <w:jc w:val="center"/>
        </w:trPr>
        <w:tc>
          <w:tcPr>
            <w:tcW w:w="2523" w:type="dxa"/>
            <w:shd w:val="clear" w:color="auto" w:fill="C0C0C0"/>
            <w:vAlign w:val="center"/>
          </w:tcPr>
          <w:p w14:paraId="6764633A" w14:textId="77777777" w:rsidR="00420EC7" w:rsidRPr="003234C5" w:rsidRDefault="00420EC7" w:rsidP="00420EC7">
            <w:pPr>
              <w:autoSpaceDE w:val="0"/>
              <w:autoSpaceDN w:val="0"/>
              <w:adjustRightInd w:val="0"/>
              <w:jc w:val="both"/>
              <w:rPr>
                <w:rFonts w:ascii="Arial" w:hAnsi="Arial" w:cs="Arial"/>
                <w:b/>
                <w:sz w:val="20"/>
                <w:szCs w:val="20"/>
              </w:rPr>
            </w:pPr>
            <w:r w:rsidRPr="003234C5">
              <w:rPr>
                <w:rFonts w:ascii="Arial" w:hAnsi="Arial" w:cs="Arial"/>
                <w:sz w:val="24"/>
                <w:szCs w:val="24"/>
              </w:rPr>
              <w:tab/>
            </w:r>
            <w:r w:rsidRPr="003234C5">
              <w:rPr>
                <w:rFonts w:ascii="Arial" w:hAnsi="Arial" w:cs="Arial"/>
                <w:b/>
                <w:sz w:val="20"/>
                <w:szCs w:val="20"/>
              </w:rPr>
              <w:t>AMORTIZAÇÃO</w:t>
            </w:r>
          </w:p>
        </w:tc>
        <w:tc>
          <w:tcPr>
            <w:tcW w:w="1348" w:type="dxa"/>
            <w:shd w:val="clear" w:color="auto" w:fill="C0C0C0"/>
            <w:vAlign w:val="center"/>
          </w:tcPr>
          <w:p w14:paraId="113F97A4" w14:textId="0C14B813" w:rsidR="00420EC7" w:rsidRPr="003234C5" w:rsidRDefault="00420EC7" w:rsidP="00420EC7">
            <w:pPr>
              <w:autoSpaceDE w:val="0"/>
              <w:autoSpaceDN w:val="0"/>
              <w:adjustRightInd w:val="0"/>
              <w:jc w:val="center"/>
              <w:rPr>
                <w:rFonts w:ascii="Arial" w:hAnsi="Arial" w:cs="Arial"/>
                <w:b/>
                <w:sz w:val="20"/>
                <w:szCs w:val="20"/>
              </w:rPr>
            </w:pPr>
            <w:r w:rsidRPr="003234C5">
              <w:rPr>
                <w:rFonts w:ascii="Arial" w:hAnsi="Arial" w:cs="Arial"/>
                <w:b/>
                <w:sz w:val="20"/>
                <w:szCs w:val="20"/>
              </w:rPr>
              <w:t xml:space="preserve">Saldo em </w:t>
            </w:r>
            <w:r w:rsidR="00C6257E">
              <w:rPr>
                <w:rFonts w:ascii="Arial" w:hAnsi="Arial" w:cs="Arial"/>
                <w:b/>
                <w:sz w:val="20"/>
                <w:szCs w:val="20"/>
              </w:rPr>
              <w:t>2018</w:t>
            </w:r>
          </w:p>
        </w:tc>
        <w:tc>
          <w:tcPr>
            <w:tcW w:w="1295" w:type="dxa"/>
            <w:shd w:val="clear" w:color="auto" w:fill="C0C0C0"/>
            <w:vAlign w:val="center"/>
          </w:tcPr>
          <w:p w14:paraId="4FA933D0" w14:textId="033E2077" w:rsidR="00420EC7" w:rsidRPr="003234C5" w:rsidRDefault="00420EC7" w:rsidP="00420EC7">
            <w:pPr>
              <w:autoSpaceDE w:val="0"/>
              <w:autoSpaceDN w:val="0"/>
              <w:adjustRightInd w:val="0"/>
              <w:jc w:val="center"/>
              <w:rPr>
                <w:rFonts w:ascii="Arial" w:hAnsi="Arial" w:cs="Arial"/>
                <w:b/>
                <w:sz w:val="20"/>
                <w:szCs w:val="20"/>
              </w:rPr>
            </w:pPr>
            <w:r w:rsidRPr="003234C5">
              <w:rPr>
                <w:rFonts w:ascii="Arial" w:hAnsi="Arial" w:cs="Arial"/>
                <w:b/>
                <w:sz w:val="20"/>
                <w:szCs w:val="20"/>
              </w:rPr>
              <w:t>Adições</w:t>
            </w:r>
          </w:p>
        </w:tc>
        <w:tc>
          <w:tcPr>
            <w:tcW w:w="1348" w:type="dxa"/>
            <w:shd w:val="clear" w:color="auto" w:fill="C0C0C0"/>
            <w:vAlign w:val="center"/>
          </w:tcPr>
          <w:p w14:paraId="45807731" w14:textId="77777777" w:rsidR="00420EC7" w:rsidRPr="003234C5" w:rsidRDefault="00420EC7" w:rsidP="00420EC7">
            <w:pPr>
              <w:autoSpaceDE w:val="0"/>
              <w:autoSpaceDN w:val="0"/>
              <w:adjustRightInd w:val="0"/>
              <w:spacing w:after="0" w:line="240" w:lineRule="auto"/>
              <w:jc w:val="center"/>
              <w:rPr>
                <w:rFonts w:ascii="Arial" w:hAnsi="Arial" w:cs="Arial"/>
                <w:b/>
                <w:sz w:val="20"/>
                <w:szCs w:val="20"/>
              </w:rPr>
            </w:pPr>
            <w:r w:rsidRPr="003234C5">
              <w:rPr>
                <w:rFonts w:ascii="Arial" w:hAnsi="Arial" w:cs="Arial"/>
                <w:b/>
                <w:sz w:val="20"/>
                <w:szCs w:val="20"/>
              </w:rPr>
              <w:t>Baixas/</w:t>
            </w:r>
          </w:p>
          <w:p w14:paraId="2935861C" w14:textId="6C695F30" w:rsidR="00420EC7" w:rsidRPr="003234C5" w:rsidRDefault="00420EC7" w:rsidP="00420EC7">
            <w:pPr>
              <w:autoSpaceDE w:val="0"/>
              <w:autoSpaceDN w:val="0"/>
              <w:adjustRightInd w:val="0"/>
              <w:jc w:val="center"/>
              <w:rPr>
                <w:rFonts w:ascii="Arial" w:hAnsi="Arial" w:cs="Arial"/>
                <w:b/>
                <w:sz w:val="20"/>
                <w:szCs w:val="20"/>
              </w:rPr>
            </w:pPr>
            <w:r w:rsidRPr="003234C5">
              <w:rPr>
                <w:rFonts w:ascii="Arial" w:hAnsi="Arial" w:cs="Arial"/>
                <w:b/>
                <w:sz w:val="20"/>
                <w:szCs w:val="20"/>
              </w:rPr>
              <w:t>Rever.</w:t>
            </w:r>
          </w:p>
        </w:tc>
        <w:tc>
          <w:tcPr>
            <w:tcW w:w="1348" w:type="dxa"/>
            <w:shd w:val="clear" w:color="auto" w:fill="C0C0C0"/>
            <w:vAlign w:val="center"/>
          </w:tcPr>
          <w:p w14:paraId="0566A7F5" w14:textId="38137231" w:rsidR="00420EC7" w:rsidRPr="003234C5" w:rsidRDefault="00420EC7" w:rsidP="00420EC7">
            <w:pPr>
              <w:autoSpaceDE w:val="0"/>
              <w:autoSpaceDN w:val="0"/>
              <w:adjustRightInd w:val="0"/>
              <w:jc w:val="center"/>
              <w:rPr>
                <w:rFonts w:ascii="Arial" w:hAnsi="Arial" w:cs="Arial"/>
                <w:b/>
                <w:sz w:val="18"/>
                <w:szCs w:val="18"/>
              </w:rPr>
            </w:pPr>
            <w:proofErr w:type="spellStart"/>
            <w:r w:rsidRPr="003234C5">
              <w:rPr>
                <w:rFonts w:ascii="Arial" w:hAnsi="Arial" w:cs="Arial"/>
                <w:b/>
                <w:sz w:val="20"/>
                <w:szCs w:val="20"/>
              </w:rPr>
              <w:t>Transf</w:t>
            </w:r>
            <w:proofErr w:type="spellEnd"/>
            <w:r w:rsidRPr="003234C5">
              <w:rPr>
                <w:rFonts w:ascii="Arial" w:hAnsi="Arial" w:cs="Arial"/>
                <w:b/>
                <w:sz w:val="20"/>
                <w:szCs w:val="20"/>
              </w:rPr>
              <w:t>.</w:t>
            </w:r>
          </w:p>
        </w:tc>
        <w:tc>
          <w:tcPr>
            <w:tcW w:w="1352" w:type="dxa"/>
            <w:shd w:val="clear" w:color="auto" w:fill="C0C0C0"/>
            <w:vAlign w:val="center"/>
          </w:tcPr>
          <w:p w14:paraId="4E4615EE" w14:textId="40CBDB15" w:rsidR="00420EC7" w:rsidRPr="003234C5" w:rsidRDefault="00420EC7" w:rsidP="00420EC7">
            <w:pPr>
              <w:autoSpaceDE w:val="0"/>
              <w:autoSpaceDN w:val="0"/>
              <w:adjustRightInd w:val="0"/>
              <w:jc w:val="center"/>
              <w:rPr>
                <w:rFonts w:ascii="Arial" w:hAnsi="Arial" w:cs="Arial"/>
                <w:b/>
                <w:sz w:val="20"/>
                <w:szCs w:val="20"/>
              </w:rPr>
            </w:pPr>
            <w:r w:rsidRPr="003234C5">
              <w:rPr>
                <w:rFonts w:ascii="Arial" w:hAnsi="Arial" w:cs="Arial"/>
                <w:b/>
                <w:sz w:val="20"/>
                <w:szCs w:val="20"/>
              </w:rPr>
              <w:t xml:space="preserve">Saldo em </w:t>
            </w:r>
            <w:r w:rsidR="00C6257E">
              <w:rPr>
                <w:rFonts w:ascii="Arial" w:hAnsi="Arial" w:cs="Arial"/>
                <w:b/>
                <w:sz w:val="20"/>
                <w:szCs w:val="20"/>
              </w:rPr>
              <w:t>2019</w:t>
            </w:r>
          </w:p>
        </w:tc>
      </w:tr>
      <w:tr w:rsidR="00335882" w:rsidRPr="003234C5" w14:paraId="0194B47A" w14:textId="77777777" w:rsidTr="00492DEB">
        <w:trPr>
          <w:cantSplit/>
          <w:trHeight w:hRule="exact" w:val="284"/>
          <w:jc w:val="center"/>
        </w:trPr>
        <w:tc>
          <w:tcPr>
            <w:tcW w:w="2523" w:type="dxa"/>
            <w:shd w:val="clear" w:color="auto" w:fill="FFFFFF"/>
            <w:vAlign w:val="center"/>
          </w:tcPr>
          <w:p w14:paraId="0C22B4CC"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Terrenos</w:t>
            </w:r>
          </w:p>
        </w:tc>
        <w:tc>
          <w:tcPr>
            <w:tcW w:w="1348" w:type="dxa"/>
            <w:shd w:val="clear" w:color="auto" w:fill="FFFFFF"/>
          </w:tcPr>
          <w:p w14:paraId="2A7EA04C" w14:textId="28778E36"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(471)</w:t>
            </w:r>
          </w:p>
        </w:tc>
        <w:tc>
          <w:tcPr>
            <w:tcW w:w="1295" w:type="dxa"/>
            <w:shd w:val="clear" w:color="auto" w:fill="FFFFFF"/>
          </w:tcPr>
          <w:p w14:paraId="56D84133" w14:textId="3173BEAF" w:rsidR="00335882" w:rsidRPr="003234C5" w:rsidRDefault="00FD7135" w:rsidP="00335882">
            <w:pPr>
              <w:jc w:val="right"/>
              <w:rPr>
                <w:rFonts w:ascii="Arial" w:hAnsi="Arial" w:cs="Arial"/>
                <w:sz w:val="20"/>
                <w:szCs w:val="20"/>
              </w:rPr>
            </w:pPr>
            <w:r>
              <w:rPr>
                <w:rFonts w:ascii="Arial" w:hAnsi="Arial" w:cs="Arial"/>
                <w:sz w:val="20"/>
                <w:szCs w:val="20"/>
              </w:rPr>
              <w:t>(66)</w:t>
            </w:r>
          </w:p>
        </w:tc>
        <w:tc>
          <w:tcPr>
            <w:tcW w:w="1348" w:type="dxa"/>
            <w:shd w:val="clear" w:color="auto" w:fill="FFFFFF"/>
          </w:tcPr>
          <w:p w14:paraId="414A2735" w14:textId="4067137F" w:rsidR="00335882" w:rsidRPr="003234C5" w:rsidRDefault="00FD7135"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54CEE263" w14:textId="4D63B365" w:rsidR="00335882" w:rsidRPr="003234C5" w:rsidRDefault="00FD7135"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1FCFCA68" w14:textId="68C97B80" w:rsidR="00335882" w:rsidRPr="003234C5" w:rsidRDefault="00222817" w:rsidP="00335882">
            <w:pPr>
              <w:jc w:val="right"/>
              <w:rPr>
                <w:rFonts w:ascii="Arial" w:hAnsi="Arial" w:cs="Arial"/>
                <w:sz w:val="20"/>
                <w:szCs w:val="20"/>
              </w:rPr>
            </w:pPr>
            <w:r>
              <w:rPr>
                <w:rFonts w:ascii="Arial" w:hAnsi="Arial" w:cs="Arial"/>
                <w:sz w:val="20"/>
                <w:szCs w:val="20"/>
              </w:rPr>
              <w:t>(537)</w:t>
            </w:r>
          </w:p>
        </w:tc>
      </w:tr>
      <w:tr w:rsidR="00335882" w:rsidRPr="003234C5" w14:paraId="15A464D2" w14:textId="77777777" w:rsidTr="00492DEB">
        <w:trPr>
          <w:cantSplit/>
          <w:trHeight w:hRule="exact" w:val="284"/>
          <w:jc w:val="center"/>
        </w:trPr>
        <w:tc>
          <w:tcPr>
            <w:tcW w:w="2523" w:type="dxa"/>
            <w:shd w:val="clear" w:color="auto" w:fill="FFFFFF"/>
            <w:vAlign w:val="center"/>
          </w:tcPr>
          <w:p w14:paraId="40DC64BE"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Edificações (Imóveis)</w:t>
            </w:r>
          </w:p>
        </w:tc>
        <w:tc>
          <w:tcPr>
            <w:tcW w:w="1348" w:type="dxa"/>
            <w:shd w:val="clear" w:color="auto" w:fill="FFFFFF"/>
          </w:tcPr>
          <w:p w14:paraId="62119E3F" w14:textId="52679A00"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(1.325)</w:t>
            </w:r>
          </w:p>
        </w:tc>
        <w:tc>
          <w:tcPr>
            <w:tcW w:w="1295" w:type="dxa"/>
            <w:shd w:val="clear" w:color="auto" w:fill="FFFFFF"/>
          </w:tcPr>
          <w:p w14:paraId="58F0B84B" w14:textId="551EE348" w:rsidR="00335882" w:rsidRPr="003234C5" w:rsidRDefault="00222817" w:rsidP="00335882">
            <w:pPr>
              <w:jc w:val="right"/>
              <w:rPr>
                <w:rFonts w:ascii="Arial" w:hAnsi="Arial" w:cs="Arial"/>
                <w:sz w:val="20"/>
                <w:szCs w:val="20"/>
              </w:rPr>
            </w:pPr>
            <w:r>
              <w:rPr>
                <w:rFonts w:ascii="Arial" w:hAnsi="Arial" w:cs="Arial"/>
                <w:sz w:val="20"/>
                <w:szCs w:val="20"/>
              </w:rPr>
              <w:t>(282)</w:t>
            </w:r>
          </w:p>
        </w:tc>
        <w:tc>
          <w:tcPr>
            <w:tcW w:w="1348" w:type="dxa"/>
            <w:shd w:val="clear" w:color="auto" w:fill="FFFFFF"/>
          </w:tcPr>
          <w:p w14:paraId="25DAF42F" w14:textId="1D0221BE" w:rsidR="00335882" w:rsidRPr="003234C5" w:rsidRDefault="00222817"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5BD667DE" w14:textId="75D52EAB" w:rsidR="00335882" w:rsidRPr="003234C5" w:rsidRDefault="00222817"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4B5BA3B6" w14:textId="693D9FB9" w:rsidR="00335882" w:rsidRPr="003234C5" w:rsidRDefault="00D87F0A" w:rsidP="00335882">
            <w:pPr>
              <w:jc w:val="right"/>
              <w:rPr>
                <w:rFonts w:ascii="Arial" w:hAnsi="Arial" w:cs="Arial"/>
                <w:sz w:val="20"/>
                <w:szCs w:val="20"/>
              </w:rPr>
            </w:pPr>
            <w:r>
              <w:rPr>
                <w:rFonts w:ascii="Arial" w:hAnsi="Arial" w:cs="Arial"/>
                <w:sz w:val="20"/>
                <w:szCs w:val="20"/>
              </w:rPr>
              <w:t>(1.607)</w:t>
            </w:r>
          </w:p>
        </w:tc>
      </w:tr>
      <w:tr w:rsidR="00335882" w:rsidRPr="003234C5" w14:paraId="0B85DDB7" w14:textId="77777777" w:rsidTr="00492DEB">
        <w:trPr>
          <w:cantSplit/>
          <w:trHeight w:hRule="exact" w:val="284"/>
          <w:jc w:val="center"/>
        </w:trPr>
        <w:tc>
          <w:tcPr>
            <w:tcW w:w="2523" w:type="dxa"/>
            <w:shd w:val="clear" w:color="auto" w:fill="FFFFFF"/>
            <w:vAlign w:val="center"/>
          </w:tcPr>
          <w:p w14:paraId="5EBC8EC0"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Móveis e Utensílios</w:t>
            </w:r>
          </w:p>
        </w:tc>
        <w:tc>
          <w:tcPr>
            <w:tcW w:w="1348" w:type="dxa"/>
            <w:shd w:val="clear" w:color="auto" w:fill="FFFFFF"/>
          </w:tcPr>
          <w:p w14:paraId="02BD3A04" w14:textId="379DA8EC"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(759)</w:t>
            </w:r>
          </w:p>
        </w:tc>
        <w:tc>
          <w:tcPr>
            <w:tcW w:w="1295" w:type="dxa"/>
            <w:shd w:val="clear" w:color="auto" w:fill="FFFFFF"/>
          </w:tcPr>
          <w:p w14:paraId="46A78A81" w14:textId="1A655CA2" w:rsidR="00222817" w:rsidRDefault="00222817" w:rsidP="00222817">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(21</w:t>
            </w:r>
            <w:r w:rsidR="00302803">
              <w:rPr>
                <w:rFonts w:ascii="Arial" w:hAnsi="Arial" w:cs="Arial"/>
                <w:sz w:val="20"/>
                <w:szCs w:val="20"/>
              </w:rPr>
              <w:t>8</w:t>
            </w:r>
            <w:r>
              <w:rPr>
                <w:rFonts w:ascii="Arial" w:hAnsi="Arial" w:cs="Arial"/>
                <w:sz w:val="20"/>
                <w:szCs w:val="20"/>
              </w:rPr>
              <w:t xml:space="preserve">)                  </w:t>
            </w:r>
            <w:proofErr w:type="gramStart"/>
            <w:r>
              <w:rPr>
                <w:rFonts w:ascii="Arial" w:hAnsi="Arial" w:cs="Arial"/>
                <w:sz w:val="20"/>
                <w:szCs w:val="20"/>
              </w:rPr>
              <w:t xml:space="preserve">   (</w:t>
            </w:r>
            <w:proofErr w:type="gramEnd"/>
            <w:r>
              <w:rPr>
                <w:rFonts w:ascii="Arial" w:hAnsi="Arial" w:cs="Arial"/>
                <w:sz w:val="20"/>
                <w:szCs w:val="20"/>
              </w:rPr>
              <w:t>217)</w:t>
            </w:r>
          </w:p>
          <w:p w14:paraId="30674BE6" w14:textId="3CCC841E" w:rsidR="00335882" w:rsidRPr="003234C5" w:rsidRDefault="00335882" w:rsidP="00335882">
            <w:pPr>
              <w:jc w:val="right"/>
              <w:rPr>
                <w:rFonts w:ascii="Arial" w:hAnsi="Arial" w:cs="Arial"/>
                <w:sz w:val="20"/>
                <w:szCs w:val="20"/>
              </w:rPr>
            </w:pPr>
          </w:p>
        </w:tc>
        <w:tc>
          <w:tcPr>
            <w:tcW w:w="1348" w:type="dxa"/>
            <w:shd w:val="clear" w:color="auto" w:fill="FFFFFF"/>
          </w:tcPr>
          <w:p w14:paraId="05D782FD" w14:textId="7C256627" w:rsidR="00335882" w:rsidRPr="003234C5" w:rsidRDefault="00D87F0A"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37C8D284" w14:textId="41CCE03A" w:rsidR="00335882" w:rsidRPr="003234C5" w:rsidRDefault="00D87F0A"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2E40EB0B" w14:textId="26C69A75" w:rsidR="00335882" w:rsidRPr="003234C5" w:rsidRDefault="00D87F0A" w:rsidP="00335882">
            <w:pPr>
              <w:jc w:val="right"/>
              <w:rPr>
                <w:rFonts w:ascii="Arial" w:hAnsi="Arial" w:cs="Arial"/>
                <w:sz w:val="20"/>
                <w:szCs w:val="20"/>
              </w:rPr>
            </w:pPr>
            <w:r>
              <w:rPr>
                <w:rFonts w:ascii="Arial" w:hAnsi="Arial" w:cs="Arial"/>
                <w:sz w:val="20"/>
                <w:szCs w:val="20"/>
              </w:rPr>
              <w:t>(97</w:t>
            </w:r>
            <w:r w:rsidR="00302803">
              <w:rPr>
                <w:rFonts w:ascii="Arial" w:hAnsi="Arial" w:cs="Arial"/>
                <w:sz w:val="20"/>
                <w:szCs w:val="20"/>
              </w:rPr>
              <w:t>7</w:t>
            </w:r>
            <w:r>
              <w:rPr>
                <w:rFonts w:ascii="Arial" w:hAnsi="Arial" w:cs="Arial"/>
                <w:sz w:val="20"/>
                <w:szCs w:val="20"/>
              </w:rPr>
              <w:t>)</w:t>
            </w:r>
          </w:p>
        </w:tc>
      </w:tr>
      <w:tr w:rsidR="00335882" w:rsidRPr="003234C5" w14:paraId="66C45D1D" w14:textId="77777777" w:rsidTr="00492DEB">
        <w:trPr>
          <w:cantSplit/>
          <w:trHeight w:hRule="exact" w:val="284"/>
          <w:jc w:val="center"/>
        </w:trPr>
        <w:tc>
          <w:tcPr>
            <w:tcW w:w="2523" w:type="dxa"/>
            <w:shd w:val="clear" w:color="auto" w:fill="FFFFFF"/>
            <w:vAlign w:val="center"/>
          </w:tcPr>
          <w:p w14:paraId="29976B5B"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Veículo Tec. Administrativo</w:t>
            </w:r>
          </w:p>
        </w:tc>
        <w:tc>
          <w:tcPr>
            <w:tcW w:w="1348" w:type="dxa"/>
            <w:shd w:val="clear" w:color="auto" w:fill="FFFFFF"/>
          </w:tcPr>
          <w:p w14:paraId="30FE4C8A" w14:textId="42334606"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(779)</w:t>
            </w:r>
          </w:p>
        </w:tc>
        <w:tc>
          <w:tcPr>
            <w:tcW w:w="1295" w:type="dxa"/>
            <w:shd w:val="clear" w:color="auto" w:fill="FFFFFF"/>
          </w:tcPr>
          <w:p w14:paraId="26CB12BD" w14:textId="1068AB8F" w:rsidR="00335882" w:rsidRPr="003234C5" w:rsidRDefault="00C05503" w:rsidP="00335882">
            <w:pPr>
              <w:jc w:val="right"/>
              <w:rPr>
                <w:rFonts w:ascii="Arial" w:hAnsi="Arial" w:cs="Arial"/>
                <w:sz w:val="20"/>
                <w:szCs w:val="20"/>
              </w:rPr>
            </w:pPr>
            <w:r>
              <w:rPr>
                <w:rFonts w:ascii="Arial" w:hAnsi="Arial" w:cs="Arial"/>
                <w:sz w:val="20"/>
                <w:szCs w:val="20"/>
              </w:rPr>
              <w:t>(131)</w:t>
            </w:r>
          </w:p>
        </w:tc>
        <w:tc>
          <w:tcPr>
            <w:tcW w:w="1348" w:type="dxa"/>
            <w:shd w:val="clear" w:color="auto" w:fill="FFFFFF"/>
          </w:tcPr>
          <w:p w14:paraId="579AB6DF" w14:textId="42008B74" w:rsidR="00335882" w:rsidRPr="003234C5" w:rsidRDefault="002F432E" w:rsidP="00335882">
            <w:pPr>
              <w:autoSpaceDE w:val="0"/>
              <w:autoSpaceDN w:val="0"/>
              <w:adjustRightInd w:val="0"/>
              <w:jc w:val="right"/>
              <w:rPr>
                <w:rFonts w:ascii="Arial" w:hAnsi="Arial" w:cs="Arial"/>
                <w:sz w:val="20"/>
                <w:szCs w:val="20"/>
              </w:rPr>
            </w:pPr>
            <w:r>
              <w:rPr>
                <w:rFonts w:ascii="Arial" w:hAnsi="Arial" w:cs="Arial"/>
                <w:sz w:val="20"/>
                <w:szCs w:val="20"/>
              </w:rPr>
              <w:t>275</w:t>
            </w:r>
          </w:p>
        </w:tc>
        <w:tc>
          <w:tcPr>
            <w:tcW w:w="1348" w:type="dxa"/>
            <w:shd w:val="clear" w:color="auto" w:fill="FFFFFF"/>
          </w:tcPr>
          <w:p w14:paraId="65667D86" w14:textId="29F2B609" w:rsidR="00335882" w:rsidRPr="003234C5" w:rsidRDefault="002F432E"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27EA68D4" w14:textId="1BA5E34B" w:rsidR="00335882" w:rsidRPr="003234C5" w:rsidRDefault="002F432E" w:rsidP="00335882">
            <w:pPr>
              <w:jc w:val="right"/>
              <w:rPr>
                <w:rFonts w:ascii="Arial" w:hAnsi="Arial" w:cs="Arial"/>
                <w:sz w:val="20"/>
                <w:szCs w:val="20"/>
              </w:rPr>
            </w:pPr>
            <w:r>
              <w:rPr>
                <w:rFonts w:ascii="Arial" w:hAnsi="Arial" w:cs="Arial"/>
                <w:sz w:val="20"/>
                <w:szCs w:val="20"/>
              </w:rPr>
              <w:t>(635)</w:t>
            </w:r>
          </w:p>
        </w:tc>
      </w:tr>
      <w:tr w:rsidR="00335882" w:rsidRPr="003234C5" w14:paraId="46546271" w14:textId="77777777" w:rsidTr="00492DEB">
        <w:trPr>
          <w:cantSplit/>
          <w:trHeight w:hRule="exact" w:val="284"/>
          <w:jc w:val="center"/>
        </w:trPr>
        <w:tc>
          <w:tcPr>
            <w:tcW w:w="2523" w:type="dxa"/>
            <w:shd w:val="clear" w:color="auto" w:fill="FFFFFF"/>
            <w:vAlign w:val="center"/>
          </w:tcPr>
          <w:p w14:paraId="1635020C"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Veículos Trans. de Gás</w:t>
            </w:r>
          </w:p>
        </w:tc>
        <w:tc>
          <w:tcPr>
            <w:tcW w:w="1348" w:type="dxa"/>
            <w:shd w:val="clear" w:color="auto" w:fill="FFFFFF"/>
          </w:tcPr>
          <w:p w14:paraId="0A9C380A" w14:textId="2FDFE9FD"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w:t>
            </w:r>
            <w:r w:rsidR="00C70E03">
              <w:rPr>
                <w:rFonts w:ascii="Arial" w:hAnsi="Arial" w:cs="Arial"/>
                <w:sz w:val="20"/>
                <w:szCs w:val="20"/>
              </w:rPr>
              <w:t>577</w:t>
            </w:r>
            <w:r w:rsidRPr="003234C5">
              <w:rPr>
                <w:rFonts w:ascii="Arial" w:hAnsi="Arial" w:cs="Arial"/>
                <w:sz w:val="20"/>
                <w:szCs w:val="20"/>
              </w:rPr>
              <w:t>)</w:t>
            </w:r>
          </w:p>
        </w:tc>
        <w:tc>
          <w:tcPr>
            <w:tcW w:w="1295" w:type="dxa"/>
            <w:shd w:val="clear" w:color="auto" w:fill="FFFFFF"/>
          </w:tcPr>
          <w:p w14:paraId="261E9B85" w14:textId="3F1AE50E" w:rsidR="00335882" w:rsidRPr="003234C5" w:rsidRDefault="00C70E03" w:rsidP="00335882">
            <w:pPr>
              <w:jc w:val="right"/>
              <w:rPr>
                <w:rFonts w:ascii="Arial" w:hAnsi="Arial" w:cs="Arial"/>
                <w:sz w:val="20"/>
                <w:szCs w:val="20"/>
              </w:rPr>
            </w:pPr>
            <w:r>
              <w:rPr>
                <w:rFonts w:ascii="Arial" w:hAnsi="Arial" w:cs="Arial"/>
                <w:sz w:val="20"/>
                <w:szCs w:val="20"/>
              </w:rPr>
              <w:t>-</w:t>
            </w:r>
          </w:p>
        </w:tc>
        <w:tc>
          <w:tcPr>
            <w:tcW w:w="1348" w:type="dxa"/>
            <w:shd w:val="clear" w:color="auto" w:fill="FFFFFF"/>
          </w:tcPr>
          <w:p w14:paraId="7F410685" w14:textId="6B261C58" w:rsidR="00335882" w:rsidRPr="003234C5" w:rsidRDefault="00C70E03"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7CA407E9" w14:textId="7C775E7A" w:rsidR="00335882" w:rsidRPr="003234C5" w:rsidRDefault="00FB6EB6"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3BD06F8E" w14:textId="789BC2FD" w:rsidR="00335882" w:rsidRPr="003234C5" w:rsidRDefault="00FB6EB6" w:rsidP="00335882">
            <w:pPr>
              <w:jc w:val="right"/>
              <w:rPr>
                <w:rFonts w:ascii="Arial" w:hAnsi="Arial" w:cs="Arial"/>
                <w:sz w:val="20"/>
                <w:szCs w:val="20"/>
              </w:rPr>
            </w:pPr>
            <w:r>
              <w:rPr>
                <w:rFonts w:ascii="Arial" w:hAnsi="Arial" w:cs="Arial"/>
                <w:sz w:val="20"/>
                <w:szCs w:val="20"/>
              </w:rPr>
              <w:t>(577)</w:t>
            </w:r>
          </w:p>
        </w:tc>
      </w:tr>
      <w:tr w:rsidR="00335882" w:rsidRPr="003234C5" w14:paraId="7B993FE0" w14:textId="77777777" w:rsidTr="00492DEB">
        <w:trPr>
          <w:cantSplit/>
          <w:trHeight w:hRule="exact" w:val="284"/>
          <w:jc w:val="center"/>
        </w:trPr>
        <w:tc>
          <w:tcPr>
            <w:tcW w:w="2523" w:type="dxa"/>
            <w:shd w:val="clear" w:color="auto" w:fill="FFFFFF"/>
            <w:vAlign w:val="center"/>
          </w:tcPr>
          <w:p w14:paraId="2E516A4F"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Veículo Diretoria</w:t>
            </w:r>
          </w:p>
        </w:tc>
        <w:tc>
          <w:tcPr>
            <w:tcW w:w="1348" w:type="dxa"/>
            <w:shd w:val="clear" w:color="auto" w:fill="FFFFFF"/>
          </w:tcPr>
          <w:p w14:paraId="046829B3" w14:textId="544DD3B8"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w:t>
            </w:r>
            <w:r w:rsidR="00C70E03">
              <w:rPr>
                <w:rFonts w:ascii="Arial" w:hAnsi="Arial" w:cs="Arial"/>
                <w:sz w:val="20"/>
                <w:szCs w:val="20"/>
              </w:rPr>
              <w:t>149</w:t>
            </w:r>
            <w:r w:rsidRPr="003234C5">
              <w:rPr>
                <w:rFonts w:ascii="Arial" w:hAnsi="Arial" w:cs="Arial"/>
                <w:sz w:val="20"/>
                <w:szCs w:val="20"/>
              </w:rPr>
              <w:t>)</w:t>
            </w:r>
          </w:p>
        </w:tc>
        <w:tc>
          <w:tcPr>
            <w:tcW w:w="1295" w:type="dxa"/>
            <w:shd w:val="clear" w:color="auto" w:fill="FFFFFF"/>
          </w:tcPr>
          <w:p w14:paraId="2B147911" w14:textId="5341D71A" w:rsidR="00335882" w:rsidRPr="003234C5" w:rsidRDefault="00C70E03" w:rsidP="00335882">
            <w:pPr>
              <w:jc w:val="right"/>
              <w:rPr>
                <w:rFonts w:ascii="Arial" w:hAnsi="Arial" w:cs="Arial"/>
                <w:sz w:val="20"/>
                <w:szCs w:val="20"/>
              </w:rPr>
            </w:pPr>
            <w:r>
              <w:rPr>
                <w:rFonts w:ascii="Arial" w:hAnsi="Arial" w:cs="Arial"/>
                <w:sz w:val="20"/>
                <w:szCs w:val="20"/>
              </w:rPr>
              <w:t>(7)</w:t>
            </w:r>
          </w:p>
        </w:tc>
        <w:tc>
          <w:tcPr>
            <w:tcW w:w="1348" w:type="dxa"/>
            <w:shd w:val="clear" w:color="auto" w:fill="FFFFFF"/>
          </w:tcPr>
          <w:p w14:paraId="4B754E20" w14:textId="500DD307" w:rsidR="00335882" w:rsidRPr="003234C5" w:rsidRDefault="00C70E03" w:rsidP="00335882">
            <w:pPr>
              <w:autoSpaceDE w:val="0"/>
              <w:autoSpaceDN w:val="0"/>
              <w:adjustRightInd w:val="0"/>
              <w:jc w:val="right"/>
              <w:rPr>
                <w:rFonts w:ascii="Arial" w:hAnsi="Arial" w:cs="Arial"/>
                <w:sz w:val="20"/>
                <w:szCs w:val="20"/>
              </w:rPr>
            </w:pPr>
            <w:r>
              <w:rPr>
                <w:rFonts w:ascii="Arial" w:hAnsi="Arial" w:cs="Arial"/>
                <w:sz w:val="20"/>
                <w:szCs w:val="20"/>
              </w:rPr>
              <w:t>50</w:t>
            </w:r>
          </w:p>
        </w:tc>
        <w:tc>
          <w:tcPr>
            <w:tcW w:w="1348" w:type="dxa"/>
            <w:shd w:val="clear" w:color="auto" w:fill="FFFFFF"/>
          </w:tcPr>
          <w:p w14:paraId="6E43105E" w14:textId="3D658E35" w:rsidR="00335882" w:rsidRPr="003234C5" w:rsidRDefault="00C70E03"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1DD7D1D3" w14:textId="5F34B0B3" w:rsidR="00335882" w:rsidRPr="003234C5" w:rsidRDefault="00C70E03" w:rsidP="00335882">
            <w:pPr>
              <w:jc w:val="right"/>
              <w:rPr>
                <w:rFonts w:ascii="Arial" w:hAnsi="Arial" w:cs="Arial"/>
                <w:sz w:val="20"/>
                <w:szCs w:val="20"/>
              </w:rPr>
            </w:pPr>
            <w:r>
              <w:rPr>
                <w:rFonts w:ascii="Arial" w:hAnsi="Arial" w:cs="Arial"/>
                <w:sz w:val="20"/>
                <w:szCs w:val="20"/>
              </w:rPr>
              <w:t>(106)</w:t>
            </w:r>
          </w:p>
        </w:tc>
      </w:tr>
      <w:tr w:rsidR="00335882" w:rsidRPr="003234C5" w14:paraId="101A4B6C" w14:textId="77777777" w:rsidTr="00492DEB">
        <w:trPr>
          <w:cantSplit/>
          <w:trHeight w:hRule="exact" w:val="312"/>
          <w:jc w:val="center"/>
        </w:trPr>
        <w:tc>
          <w:tcPr>
            <w:tcW w:w="2523" w:type="dxa"/>
            <w:shd w:val="clear" w:color="auto" w:fill="FFFFFF"/>
            <w:vAlign w:val="center"/>
          </w:tcPr>
          <w:p w14:paraId="4134655E" w14:textId="77777777" w:rsidR="00335882" w:rsidRPr="003234C5" w:rsidRDefault="00335882" w:rsidP="00335882">
            <w:pPr>
              <w:autoSpaceDE w:val="0"/>
              <w:autoSpaceDN w:val="0"/>
              <w:adjustRightInd w:val="0"/>
              <w:rPr>
                <w:rFonts w:ascii="Arial" w:hAnsi="Arial" w:cs="Arial"/>
                <w:sz w:val="20"/>
                <w:szCs w:val="20"/>
              </w:rPr>
            </w:pPr>
            <w:proofErr w:type="spellStart"/>
            <w:r w:rsidRPr="003234C5">
              <w:rPr>
                <w:rFonts w:ascii="Arial" w:hAnsi="Arial" w:cs="Arial"/>
                <w:sz w:val="20"/>
                <w:szCs w:val="20"/>
              </w:rPr>
              <w:t>Equip</w:t>
            </w:r>
            <w:proofErr w:type="spellEnd"/>
            <w:r w:rsidRPr="003234C5">
              <w:rPr>
                <w:rFonts w:ascii="Arial" w:hAnsi="Arial" w:cs="Arial"/>
                <w:sz w:val="20"/>
                <w:szCs w:val="20"/>
              </w:rPr>
              <w:t xml:space="preserve">. </w:t>
            </w:r>
            <w:proofErr w:type="spellStart"/>
            <w:r w:rsidRPr="003234C5">
              <w:rPr>
                <w:rFonts w:ascii="Arial" w:hAnsi="Arial" w:cs="Arial"/>
                <w:sz w:val="20"/>
                <w:szCs w:val="20"/>
              </w:rPr>
              <w:t>Process</w:t>
            </w:r>
            <w:proofErr w:type="spellEnd"/>
            <w:r w:rsidRPr="003234C5">
              <w:rPr>
                <w:rFonts w:ascii="Arial" w:hAnsi="Arial" w:cs="Arial"/>
                <w:sz w:val="20"/>
                <w:szCs w:val="20"/>
              </w:rPr>
              <w:t>. Dados</w:t>
            </w:r>
          </w:p>
        </w:tc>
        <w:tc>
          <w:tcPr>
            <w:tcW w:w="1348" w:type="dxa"/>
            <w:shd w:val="clear" w:color="auto" w:fill="FFFFFF"/>
          </w:tcPr>
          <w:p w14:paraId="12219DB2" w14:textId="77B0FC7D"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(1.063)</w:t>
            </w:r>
          </w:p>
        </w:tc>
        <w:tc>
          <w:tcPr>
            <w:tcW w:w="1295" w:type="dxa"/>
            <w:shd w:val="clear" w:color="auto" w:fill="FFFFFF"/>
          </w:tcPr>
          <w:p w14:paraId="2EAB6146" w14:textId="30E359CA" w:rsidR="00335882" w:rsidRPr="003234C5" w:rsidRDefault="000F74C8" w:rsidP="00335882">
            <w:pPr>
              <w:jc w:val="right"/>
              <w:rPr>
                <w:rFonts w:ascii="Arial" w:hAnsi="Arial" w:cs="Arial"/>
                <w:sz w:val="20"/>
                <w:szCs w:val="20"/>
              </w:rPr>
            </w:pPr>
            <w:r>
              <w:rPr>
                <w:rFonts w:ascii="Arial" w:hAnsi="Arial" w:cs="Arial"/>
                <w:sz w:val="20"/>
                <w:szCs w:val="20"/>
              </w:rPr>
              <w:t>(192)</w:t>
            </w:r>
          </w:p>
        </w:tc>
        <w:tc>
          <w:tcPr>
            <w:tcW w:w="1348" w:type="dxa"/>
            <w:shd w:val="clear" w:color="auto" w:fill="FFFFFF"/>
          </w:tcPr>
          <w:p w14:paraId="7FBF8953" w14:textId="1CF858A7" w:rsidR="00335882" w:rsidRPr="003234C5" w:rsidRDefault="000F74C8"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72043F9E" w14:textId="7E6DAFF8" w:rsidR="00335882" w:rsidRPr="003234C5" w:rsidRDefault="000F74C8"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28098404" w14:textId="07A0D00B" w:rsidR="00335882" w:rsidRPr="003234C5" w:rsidRDefault="00FB6EB6" w:rsidP="00335882">
            <w:pPr>
              <w:jc w:val="right"/>
              <w:rPr>
                <w:rFonts w:ascii="Arial" w:hAnsi="Arial" w:cs="Arial"/>
                <w:sz w:val="20"/>
                <w:szCs w:val="20"/>
              </w:rPr>
            </w:pPr>
            <w:r>
              <w:rPr>
                <w:rFonts w:ascii="Arial" w:hAnsi="Arial" w:cs="Arial"/>
                <w:sz w:val="20"/>
                <w:szCs w:val="20"/>
              </w:rPr>
              <w:t>(1.255)</w:t>
            </w:r>
          </w:p>
        </w:tc>
      </w:tr>
      <w:tr w:rsidR="00335882" w:rsidRPr="003234C5" w14:paraId="67B38429" w14:textId="77777777" w:rsidTr="00492DEB">
        <w:trPr>
          <w:cantSplit/>
          <w:trHeight w:hRule="exact" w:val="284"/>
          <w:jc w:val="center"/>
        </w:trPr>
        <w:tc>
          <w:tcPr>
            <w:tcW w:w="2523" w:type="dxa"/>
            <w:shd w:val="clear" w:color="auto" w:fill="FFFFFF"/>
            <w:vAlign w:val="center"/>
          </w:tcPr>
          <w:p w14:paraId="5BCC2A07"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Rede de Distribuição</w:t>
            </w:r>
          </w:p>
        </w:tc>
        <w:tc>
          <w:tcPr>
            <w:tcW w:w="1348" w:type="dxa"/>
            <w:shd w:val="clear" w:color="auto" w:fill="FFFFFF"/>
          </w:tcPr>
          <w:p w14:paraId="4275266F" w14:textId="3C9F5448"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(76.831)</w:t>
            </w:r>
          </w:p>
        </w:tc>
        <w:tc>
          <w:tcPr>
            <w:tcW w:w="1295" w:type="dxa"/>
            <w:shd w:val="clear" w:color="auto" w:fill="FFFFFF"/>
          </w:tcPr>
          <w:p w14:paraId="23504CA3" w14:textId="5996A56E" w:rsidR="00335882" w:rsidRPr="003234C5" w:rsidRDefault="000F74C8" w:rsidP="00335882">
            <w:pPr>
              <w:jc w:val="right"/>
              <w:rPr>
                <w:rFonts w:ascii="Arial" w:hAnsi="Arial" w:cs="Arial"/>
                <w:sz w:val="20"/>
                <w:szCs w:val="20"/>
              </w:rPr>
            </w:pPr>
            <w:r>
              <w:rPr>
                <w:rFonts w:ascii="Arial" w:hAnsi="Arial" w:cs="Arial"/>
                <w:sz w:val="20"/>
                <w:szCs w:val="20"/>
              </w:rPr>
              <w:t>(14.149)</w:t>
            </w:r>
          </w:p>
        </w:tc>
        <w:tc>
          <w:tcPr>
            <w:tcW w:w="1348" w:type="dxa"/>
            <w:shd w:val="clear" w:color="auto" w:fill="FFFFFF"/>
          </w:tcPr>
          <w:p w14:paraId="5A98DAA9" w14:textId="21681B16" w:rsidR="00335882" w:rsidRPr="003234C5" w:rsidRDefault="000F74C8" w:rsidP="00335882">
            <w:pPr>
              <w:jc w:val="right"/>
              <w:rPr>
                <w:rFonts w:ascii="Arial" w:hAnsi="Arial" w:cs="Arial"/>
                <w:sz w:val="20"/>
                <w:szCs w:val="20"/>
              </w:rPr>
            </w:pPr>
            <w:r>
              <w:rPr>
                <w:rFonts w:ascii="Arial" w:hAnsi="Arial" w:cs="Arial"/>
                <w:sz w:val="20"/>
                <w:szCs w:val="20"/>
              </w:rPr>
              <w:t>849</w:t>
            </w:r>
          </w:p>
        </w:tc>
        <w:tc>
          <w:tcPr>
            <w:tcW w:w="1348" w:type="dxa"/>
            <w:shd w:val="clear" w:color="auto" w:fill="FFFFFF"/>
          </w:tcPr>
          <w:p w14:paraId="3509703E" w14:textId="31E3DFDA" w:rsidR="00335882" w:rsidRPr="003234C5" w:rsidRDefault="000F74C8"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4623D51D" w14:textId="686D1EFD" w:rsidR="00335882" w:rsidRPr="003234C5" w:rsidRDefault="000F74C8" w:rsidP="00335882">
            <w:pPr>
              <w:jc w:val="right"/>
              <w:rPr>
                <w:rFonts w:ascii="Arial" w:hAnsi="Arial" w:cs="Arial"/>
                <w:sz w:val="20"/>
                <w:szCs w:val="20"/>
              </w:rPr>
            </w:pPr>
            <w:r>
              <w:rPr>
                <w:rFonts w:ascii="Arial" w:hAnsi="Arial" w:cs="Arial"/>
                <w:sz w:val="20"/>
                <w:szCs w:val="20"/>
              </w:rPr>
              <w:t>(90.131)</w:t>
            </w:r>
          </w:p>
        </w:tc>
      </w:tr>
      <w:tr w:rsidR="00335882" w:rsidRPr="003234C5" w14:paraId="616BEBED" w14:textId="77777777" w:rsidTr="00492DEB">
        <w:trPr>
          <w:cantSplit/>
          <w:trHeight w:hRule="exact" w:val="284"/>
          <w:jc w:val="center"/>
        </w:trPr>
        <w:tc>
          <w:tcPr>
            <w:tcW w:w="2523" w:type="dxa"/>
            <w:shd w:val="clear" w:color="auto" w:fill="FFFFFF"/>
            <w:vAlign w:val="center"/>
          </w:tcPr>
          <w:p w14:paraId="6CE215CC" w14:textId="6DBBFCEC"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M</w:t>
            </w:r>
            <w:r w:rsidR="00C322B0">
              <w:rPr>
                <w:rFonts w:ascii="Arial" w:hAnsi="Arial" w:cs="Arial"/>
                <w:sz w:val="20"/>
                <w:szCs w:val="20"/>
              </w:rPr>
              <w:t>á</w:t>
            </w:r>
            <w:r w:rsidRPr="003234C5">
              <w:rPr>
                <w:rFonts w:ascii="Arial" w:hAnsi="Arial" w:cs="Arial"/>
                <w:sz w:val="20"/>
                <w:szCs w:val="20"/>
              </w:rPr>
              <w:t>quinas Equipamentos</w:t>
            </w:r>
          </w:p>
        </w:tc>
        <w:tc>
          <w:tcPr>
            <w:tcW w:w="1348" w:type="dxa"/>
            <w:shd w:val="clear" w:color="auto" w:fill="FFFFFF"/>
          </w:tcPr>
          <w:p w14:paraId="386B2B72" w14:textId="05D2931F"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(1.631)</w:t>
            </w:r>
          </w:p>
        </w:tc>
        <w:tc>
          <w:tcPr>
            <w:tcW w:w="1295" w:type="dxa"/>
            <w:shd w:val="clear" w:color="auto" w:fill="FFFFFF"/>
          </w:tcPr>
          <w:p w14:paraId="026E8378" w14:textId="39D45C57" w:rsidR="00335882" w:rsidRPr="003234C5" w:rsidRDefault="001E30B8" w:rsidP="00335882">
            <w:pPr>
              <w:jc w:val="right"/>
              <w:rPr>
                <w:rFonts w:ascii="Arial" w:hAnsi="Arial" w:cs="Arial"/>
                <w:sz w:val="20"/>
                <w:szCs w:val="20"/>
              </w:rPr>
            </w:pPr>
            <w:r>
              <w:rPr>
                <w:rFonts w:ascii="Arial" w:hAnsi="Arial" w:cs="Arial"/>
                <w:sz w:val="20"/>
                <w:szCs w:val="20"/>
              </w:rPr>
              <w:t>(395)</w:t>
            </w:r>
          </w:p>
        </w:tc>
        <w:tc>
          <w:tcPr>
            <w:tcW w:w="1348" w:type="dxa"/>
            <w:shd w:val="clear" w:color="auto" w:fill="FFFFFF"/>
          </w:tcPr>
          <w:p w14:paraId="64B637E8" w14:textId="22E75B23" w:rsidR="00335882" w:rsidRPr="003234C5" w:rsidRDefault="001E30B8"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3D8BAAA8" w14:textId="20A005EA" w:rsidR="00335882" w:rsidRPr="003234C5" w:rsidRDefault="001E30B8"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321EC4AD" w14:textId="51C9F395" w:rsidR="00335882" w:rsidRPr="003234C5" w:rsidRDefault="001E30B8" w:rsidP="00335882">
            <w:pPr>
              <w:jc w:val="right"/>
              <w:rPr>
                <w:rFonts w:ascii="Arial" w:hAnsi="Arial" w:cs="Arial"/>
                <w:sz w:val="20"/>
                <w:szCs w:val="20"/>
              </w:rPr>
            </w:pPr>
            <w:r>
              <w:rPr>
                <w:rFonts w:ascii="Arial" w:hAnsi="Arial" w:cs="Arial"/>
                <w:sz w:val="20"/>
                <w:szCs w:val="20"/>
              </w:rPr>
              <w:t>(2.026)</w:t>
            </w:r>
          </w:p>
        </w:tc>
      </w:tr>
      <w:tr w:rsidR="00335882" w:rsidRPr="003234C5" w14:paraId="4BA4CFC6" w14:textId="77777777" w:rsidTr="00492DEB">
        <w:trPr>
          <w:cantSplit/>
          <w:trHeight w:hRule="exact" w:val="284"/>
          <w:jc w:val="center"/>
        </w:trPr>
        <w:tc>
          <w:tcPr>
            <w:tcW w:w="2523" w:type="dxa"/>
            <w:shd w:val="clear" w:color="auto" w:fill="FFFFFF"/>
            <w:vAlign w:val="center"/>
          </w:tcPr>
          <w:p w14:paraId="0446BD17" w14:textId="77777777" w:rsidR="00335882" w:rsidRPr="003234C5" w:rsidRDefault="00335882" w:rsidP="00335882">
            <w:pPr>
              <w:autoSpaceDE w:val="0"/>
              <w:autoSpaceDN w:val="0"/>
              <w:adjustRightInd w:val="0"/>
              <w:jc w:val="both"/>
              <w:rPr>
                <w:rFonts w:ascii="Arial" w:hAnsi="Arial" w:cs="Arial"/>
                <w:sz w:val="20"/>
                <w:szCs w:val="20"/>
              </w:rPr>
            </w:pPr>
            <w:r w:rsidRPr="003234C5">
              <w:rPr>
                <w:rFonts w:ascii="Arial" w:hAnsi="Arial" w:cs="Arial"/>
                <w:sz w:val="20"/>
                <w:szCs w:val="20"/>
              </w:rPr>
              <w:t>Benfeitoria em Imóveis</w:t>
            </w:r>
          </w:p>
        </w:tc>
        <w:tc>
          <w:tcPr>
            <w:tcW w:w="1348" w:type="dxa"/>
            <w:shd w:val="clear" w:color="auto" w:fill="FFFFFF"/>
          </w:tcPr>
          <w:p w14:paraId="28D0D49A" w14:textId="5660D2FF"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(147)</w:t>
            </w:r>
          </w:p>
        </w:tc>
        <w:tc>
          <w:tcPr>
            <w:tcW w:w="1295" w:type="dxa"/>
            <w:shd w:val="clear" w:color="auto" w:fill="FFFFFF"/>
          </w:tcPr>
          <w:p w14:paraId="6E78E917" w14:textId="2F401F3D" w:rsidR="00335882" w:rsidRPr="003234C5" w:rsidRDefault="00D5663F" w:rsidP="00335882">
            <w:pPr>
              <w:jc w:val="right"/>
              <w:rPr>
                <w:rFonts w:ascii="Arial" w:hAnsi="Arial" w:cs="Arial"/>
                <w:sz w:val="20"/>
                <w:szCs w:val="20"/>
              </w:rPr>
            </w:pPr>
            <w:r>
              <w:rPr>
                <w:rFonts w:ascii="Arial" w:hAnsi="Arial" w:cs="Arial"/>
                <w:sz w:val="20"/>
                <w:szCs w:val="20"/>
              </w:rPr>
              <w:t>(44)</w:t>
            </w:r>
          </w:p>
        </w:tc>
        <w:tc>
          <w:tcPr>
            <w:tcW w:w="1348" w:type="dxa"/>
            <w:shd w:val="clear" w:color="auto" w:fill="FFFFFF"/>
          </w:tcPr>
          <w:p w14:paraId="2F930CB2" w14:textId="49FB43FF" w:rsidR="00335882" w:rsidRPr="003234C5" w:rsidRDefault="00D5663F"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375ACD86" w14:textId="476C6980" w:rsidR="00335882" w:rsidRPr="003234C5" w:rsidRDefault="00D5663F"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318B64BF" w14:textId="0A6A676D" w:rsidR="00335882" w:rsidRPr="003234C5" w:rsidRDefault="00D5663F" w:rsidP="00335882">
            <w:pPr>
              <w:jc w:val="right"/>
              <w:rPr>
                <w:rFonts w:ascii="Arial" w:hAnsi="Arial" w:cs="Arial"/>
                <w:sz w:val="20"/>
                <w:szCs w:val="20"/>
              </w:rPr>
            </w:pPr>
            <w:r>
              <w:rPr>
                <w:rFonts w:ascii="Arial" w:hAnsi="Arial" w:cs="Arial"/>
                <w:sz w:val="20"/>
                <w:szCs w:val="20"/>
              </w:rPr>
              <w:t>(191)</w:t>
            </w:r>
          </w:p>
        </w:tc>
      </w:tr>
      <w:tr w:rsidR="00335882" w:rsidRPr="003234C5" w14:paraId="48DEE08D" w14:textId="77777777" w:rsidTr="00492DEB">
        <w:trPr>
          <w:cantSplit/>
          <w:trHeight w:hRule="exact" w:val="284"/>
          <w:jc w:val="center"/>
        </w:trPr>
        <w:tc>
          <w:tcPr>
            <w:tcW w:w="2523" w:type="dxa"/>
            <w:shd w:val="clear" w:color="auto" w:fill="FFFFFF"/>
            <w:vAlign w:val="center"/>
          </w:tcPr>
          <w:p w14:paraId="0CC3B759" w14:textId="77777777" w:rsidR="00335882" w:rsidRPr="003234C5" w:rsidRDefault="00335882" w:rsidP="00335882">
            <w:pPr>
              <w:jc w:val="both"/>
              <w:rPr>
                <w:rFonts w:ascii="Arial" w:hAnsi="Arial" w:cs="Arial"/>
                <w:sz w:val="20"/>
                <w:szCs w:val="20"/>
              </w:rPr>
            </w:pPr>
            <w:r w:rsidRPr="003234C5">
              <w:rPr>
                <w:rFonts w:ascii="Arial" w:hAnsi="Arial" w:cs="Arial"/>
                <w:sz w:val="20"/>
                <w:szCs w:val="20"/>
              </w:rPr>
              <w:t>Softwares</w:t>
            </w:r>
          </w:p>
        </w:tc>
        <w:tc>
          <w:tcPr>
            <w:tcW w:w="1348" w:type="dxa"/>
            <w:shd w:val="clear" w:color="auto" w:fill="FFFFFF"/>
          </w:tcPr>
          <w:p w14:paraId="4B5D91B2" w14:textId="68B03E4F"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(4.226)</w:t>
            </w:r>
          </w:p>
        </w:tc>
        <w:tc>
          <w:tcPr>
            <w:tcW w:w="1295" w:type="dxa"/>
            <w:shd w:val="clear" w:color="auto" w:fill="FFFFFF"/>
          </w:tcPr>
          <w:p w14:paraId="5FAB34A0" w14:textId="77C00A02" w:rsidR="00335882" w:rsidRPr="003234C5" w:rsidRDefault="00F43916" w:rsidP="00335882">
            <w:pPr>
              <w:jc w:val="right"/>
              <w:rPr>
                <w:rFonts w:ascii="Arial" w:hAnsi="Arial" w:cs="Arial"/>
                <w:sz w:val="20"/>
                <w:szCs w:val="20"/>
              </w:rPr>
            </w:pPr>
            <w:r>
              <w:rPr>
                <w:rFonts w:ascii="Arial" w:hAnsi="Arial" w:cs="Arial"/>
                <w:sz w:val="20"/>
                <w:szCs w:val="20"/>
              </w:rPr>
              <w:t>(826)</w:t>
            </w:r>
          </w:p>
        </w:tc>
        <w:tc>
          <w:tcPr>
            <w:tcW w:w="1348" w:type="dxa"/>
            <w:shd w:val="clear" w:color="auto" w:fill="FFFFFF"/>
          </w:tcPr>
          <w:p w14:paraId="460ECB98" w14:textId="1D4CEB69" w:rsidR="00335882" w:rsidRPr="003234C5" w:rsidRDefault="00F43916"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40A56E85" w14:textId="2AEFD836" w:rsidR="00335882" w:rsidRPr="003234C5" w:rsidRDefault="00F43916"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258DB82A" w14:textId="1CFC1180" w:rsidR="00335882" w:rsidRPr="003234C5" w:rsidRDefault="00F43916" w:rsidP="00335882">
            <w:pPr>
              <w:jc w:val="right"/>
              <w:rPr>
                <w:rFonts w:ascii="Arial" w:hAnsi="Arial" w:cs="Arial"/>
                <w:sz w:val="20"/>
                <w:szCs w:val="20"/>
              </w:rPr>
            </w:pPr>
            <w:r>
              <w:rPr>
                <w:rFonts w:ascii="Arial" w:hAnsi="Arial" w:cs="Arial"/>
                <w:sz w:val="20"/>
                <w:szCs w:val="20"/>
              </w:rPr>
              <w:t>(5.052)</w:t>
            </w:r>
          </w:p>
        </w:tc>
      </w:tr>
      <w:tr w:rsidR="00335882" w:rsidRPr="003234C5" w14:paraId="7B815737" w14:textId="77777777" w:rsidTr="00492DEB">
        <w:trPr>
          <w:cantSplit/>
          <w:trHeight w:hRule="exact" w:val="284"/>
          <w:jc w:val="center"/>
        </w:trPr>
        <w:tc>
          <w:tcPr>
            <w:tcW w:w="2523" w:type="dxa"/>
            <w:shd w:val="clear" w:color="auto" w:fill="FFFFFF"/>
            <w:vAlign w:val="center"/>
          </w:tcPr>
          <w:p w14:paraId="29594B07" w14:textId="77777777" w:rsidR="00335882" w:rsidRPr="003234C5" w:rsidRDefault="00335882" w:rsidP="00335882">
            <w:pPr>
              <w:jc w:val="both"/>
              <w:rPr>
                <w:rFonts w:ascii="Arial" w:hAnsi="Arial" w:cs="Arial"/>
                <w:sz w:val="20"/>
                <w:szCs w:val="20"/>
              </w:rPr>
            </w:pPr>
            <w:r w:rsidRPr="003234C5">
              <w:rPr>
                <w:rFonts w:ascii="Arial" w:hAnsi="Arial" w:cs="Arial"/>
                <w:sz w:val="20"/>
                <w:szCs w:val="20"/>
              </w:rPr>
              <w:t>Manual de rotinas ARCE</w:t>
            </w:r>
          </w:p>
        </w:tc>
        <w:tc>
          <w:tcPr>
            <w:tcW w:w="1348" w:type="dxa"/>
            <w:shd w:val="clear" w:color="auto" w:fill="FFFFFF"/>
          </w:tcPr>
          <w:p w14:paraId="61A02229" w14:textId="30F01F48"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(33)</w:t>
            </w:r>
          </w:p>
        </w:tc>
        <w:tc>
          <w:tcPr>
            <w:tcW w:w="1295" w:type="dxa"/>
            <w:shd w:val="clear" w:color="auto" w:fill="FFFFFF"/>
          </w:tcPr>
          <w:p w14:paraId="574B57D5" w14:textId="75CFC2FF" w:rsidR="00335882" w:rsidRPr="003234C5" w:rsidRDefault="0097086C" w:rsidP="00335882">
            <w:pPr>
              <w:jc w:val="right"/>
              <w:rPr>
                <w:rFonts w:ascii="Arial" w:hAnsi="Arial" w:cs="Arial"/>
                <w:sz w:val="20"/>
                <w:szCs w:val="20"/>
              </w:rPr>
            </w:pPr>
            <w:r>
              <w:rPr>
                <w:rFonts w:ascii="Arial" w:hAnsi="Arial" w:cs="Arial"/>
                <w:sz w:val="20"/>
                <w:szCs w:val="20"/>
              </w:rPr>
              <w:t>(5)</w:t>
            </w:r>
          </w:p>
        </w:tc>
        <w:tc>
          <w:tcPr>
            <w:tcW w:w="1348" w:type="dxa"/>
            <w:shd w:val="clear" w:color="auto" w:fill="FFFFFF"/>
          </w:tcPr>
          <w:p w14:paraId="00757786" w14:textId="3E78B32A" w:rsidR="00335882" w:rsidRPr="003234C5" w:rsidRDefault="0097086C"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35770DCC" w14:textId="377E15EB" w:rsidR="00335882" w:rsidRPr="003234C5" w:rsidRDefault="0097086C"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335914D7" w14:textId="6728EF8D" w:rsidR="00335882" w:rsidRPr="003234C5" w:rsidRDefault="0097086C" w:rsidP="00335882">
            <w:pPr>
              <w:jc w:val="right"/>
              <w:rPr>
                <w:rFonts w:ascii="Arial" w:hAnsi="Arial" w:cs="Arial"/>
                <w:sz w:val="20"/>
                <w:szCs w:val="20"/>
              </w:rPr>
            </w:pPr>
            <w:r>
              <w:rPr>
                <w:rFonts w:ascii="Arial" w:hAnsi="Arial" w:cs="Arial"/>
                <w:sz w:val="20"/>
                <w:szCs w:val="20"/>
              </w:rPr>
              <w:t>(38)</w:t>
            </w:r>
          </w:p>
        </w:tc>
      </w:tr>
      <w:tr w:rsidR="00335882" w:rsidRPr="003234C5" w14:paraId="6B1B4743" w14:textId="77777777" w:rsidTr="00492DEB">
        <w:trPr>
          <w:cantSplit/>
          <w:trHeight w:hRule="exact" w:val="284"/>
          <w:jc w:val="center"/>
        </w:trPr>
        <w:tc>
          <w:tcPr>
            <w:tcW w:w="2523" w:type="dxa"/>
            <w:shd w:val="clear" w:color="auto" w:fill="FFFFFF"/>
            <w:vAlign w:val="center"/>
          </w:tcPr>
          <w:p w14:paraId="2BFBD464" w14:textId="77777777" w:rsidR="00335882" w:rsidRPr="003234C5" w:rsidRDefault="00335882" w:rsidP="00335882">
            <w:pPr>
              <w:autoSpaceDE w:val="0"/>
              <w:autoSpaceDN w:val="0"/>
              <w:adjustRightInd w:val="0"/>
              <w:rPr>
                <w:rFonts w:ascii="Arial" w:hAnsi="Arial" w:cs="Arial"/>
                <w:sz w:val="20"/>
                <w:szCs w:val="20"/>
              </w:rPr>
            </w:pPr>
            <w:r w:rsidRPr="003234C5">
              <w:rPr>
                <w:rFonts w:ascii="Arial" w:hAnsi="Arial" w:cs="Arial"/>
                <w:sz w:val="20"/>
                <w:szCs w:val="20"/>
              </w:rPr>
              <w:t xml:space="preserve">Rede de </w:t>
            </w:r>
            <w:proofErr w:type="spellStart"/>
            <w:r w:rsidRPr="003234C5">
              <w:rPr>
                <w:rFonts w:ascii="Arial" w:hAnsi="Arial" w:cs="Arial"/>
                <w:sz w:val="20"/>
                <w:szCs w:val="20"/>
              </w:rPr>
              <w:t>Distrib</w:t>
            </w:r>
            <w:proofErr w:type="spellEnd"/>
            <w:r w:rsidRPr="003234C5">
              <w:rPr>
                <w:rFonts w:ascii="Arial" w:hAnsi="Arial" w:cs="Arial"/>
                <w:sz w:val="20"/>
                <w:szCs w:val="20"/>
              </w:rPr>
              <w:t>. Terceiros</w:t>
            </w:r>
          </w:p>
        </w:tc>
        <w:tc>
          <w:tcPr>
            <w:tcW w:w="1348" w:type="dxa"/>
            <w:shd w:val="clear" w:color="auto" w:fill="FFFFFF"/>
          </w:tcPr>
          <w:p w14:paraId="770FBA18" w14:textId="2EE3612F" w:rsidR="00335882" w:rsidRPr="003234C5" w:rsidRDefault="00335882" w:rsidP="00335882">
            <w:pPr>
              <w:jc w:val="right"/>
              <w:rPr>
                <w:rFonts w:ascii="Arial" w:hAnsi="Arial" w:cs="Arial"/>
                <w:sz w:val="20"/>
                <w:szCs w:val="20"/>
              </w:rPr>
            </w:pPr>
            <w:r w:rsidRPr="003234C5">
              <w:rPr>
                <w:rFonts w:ascii="Arial" w:hAnsi="Arial" w:cs="Arial"/>
                <w:sz w:val="20"/>
                <w:szCs w:val="20"/>
              </w:rPr>
              <w:t xml:space="preserve"> (11)</w:t>
            </w:r>
          </w:p>
        </w:tc>
        <w:tc>
          <w:tcPr>
            <w:tcW w:w="1295" w:type="dxa"/>
            <w:shd w:val="clear" w:color="auto" w:fill="FFFFFF"/>
          </w:tcPr>
          <w:p w14:paraId="31632CA5" w14:textId="5D2695F7" w:rsidR="00335882" w:rsidRPr="003234C5" w:rsidRDefault="00BB7FA9" w:rsidP="00335882">
            <w:pPr>
              <w:jc w:val="right"/>
              <w:rPr>
                <w:rFonts w:ascii="Arial" w:hAnsi="Arial" w:cs="Arial"/>
                <w:sz w:val="20"/>
                <w:szCs w:val="20"/>
              </w:rPr>
            </w:pPr>
            <w:r>
              <w:rPr>
                <w:rFonts w:ascii="Arial" w:hAnsi="Arial" w:cs="Arial"/>
                <w:sz w:val="20"/>
                <w:szCs w:val="20"/>
              </w:rPr>
              <w:t>(16)</w:t>
            </w:r>
          </w:p>
        </w:tc>
        <w:tc>
          <w:tcPr>
            <w:tcW w:w="1348" w:type="dxa"/>
            <w:shd w:val="clear" w:color="auto" w:fill="FFFFFF"/>
          </w:tcPr>
          <w:p w14:paraId="44B48E95" w14:textId="2C53F9B3" w:rsidR="00335882" w:rsidRPr="003234C5" w:rsidRDefault="00BB7FA9"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48" w:type="dxa"/>
            <w:shd w:val="clear" w:color="auto" w:fill="FFFFFF"/>
          </w:tcPr>
          <w:p w14:paraId="5DCEBF65" w14:textId="2C9F211E" w:rsidR="00335882" w:rsidRPr="003234C5" w:rsidRDefault="00BB7FA9" w:rsidP="00335882">
            <w:pPr>
              <w:autoSpaceDE w:val="0"/>
              <w:autoSpaceDN w:val="0"/>
              <w:adjustRightInd w:val="0"/>
              <w:jc w:val="right"/>
              <w:rPr>
                <w:rFonts w:ascii="Arial" w:hAnsi="Arial" w:cs="Arial"/>
                <w:sz w:val="20"/>
                <w:szCs w:val="20"/>
              </w:rPr>
            </w:pPr>
            <w:r>
              <w:rPr>
                <w:rFonts w:ascii="Arial" w:hAnsi="Arial" w:cs="Arial"/>
                <w:sz w:val="20"/>
                <w:szCs w:val="20"/>
              </w:rPr>
              <w:t>-</w:t>
            </w:r>
          </w:p>
        </w:tc>
        <w:tc>
          <w:tcPr>
            <w:tcW w:w="1352" w:type="dxa"/>
            <w:shd w:val="clear" w:color="auto" w:fill="FFFFFF"/>
          </w:tcPr>
          <w:p w14:paraId="5F917AA7" w14:textId="07B48596" w:rsidR="00335882" w:rsidRPr="003234C5" w:rsidRDefault="00BB7FA9" w:rsidP="00335882">
            <w:pPr>
              <w:jc w:val="right"/>
              <w:rPr>
                <w:rFonts w:ascii="Arial" w:hAnsi="Arial" w:cs="Arial"/>
                <w:sz w:val="20"/>
                <w:szCs w:val="20"/>
              </w:rPr>
            </w:pPr>
            <w:r>
              <w:rPr>
                <w:rFonts w:ascii="Arial" w:hAnsi="Arial" w:cs="Arial"/>
                <w:sz w:val="20"/>
                <w:szCs w:val="20"/>
              </w:rPr>
              <w:t>(27)</w:t>
            </w:r>
          </w:p>
        </w:tc>
      </w:tr>
      <w:tr w:rsidR="00335882" w:rsidRPr="003234C5" w14:paraId="09643892" w14:textId="77777777" w:rsidTr="00492DEB">
        <w:trPr>
          <w:cantSplit/>
          <w:trHeight w:hRule="exact" w:val="284"/>
          <w:jc w:val="center"/>
        </w:trPr>
        <w:tc>
          <w:tcPr>
            <w:tcW w:w="2523" w:type="dxa"/>
            <w:tcBorders>
              <w:top w:val="single" w:sz="4" w:space="0" w:color="auto"/>
              <w:left w:val="single" w:sz="4" w:space="0" w:color="auto"/>
              <w:bottom w:val="single" w:sz="4" w:space="0" w:color="auto"/>
              <w:right w:val="single" w:sz="4" w:space="0" w:color="auto"/>
            </w:tcBorders>
            <w:shd w:val="clear" w:color="auto" w:fill="BFBFBF"/>
            <w:vAlign w:val="center"/>
          </w:tcPr>
          <w:p w14:paraId="1089B314" w14:textId="77777777" w:rsidR="00335882" w:rsidRPr="003234C5" w:rsidRDefault="00335882" w:rsidP="00335882">
            <w:pPr>
              <w:jc w:val="both"/>
              <w:rPr>
                <w:rFonts w:ascii="Arial" w:hAnsi="Arial" w:cs="Arial"/>
                <w:b/>
                <w:sz w:val="20"/>
                <w:szCs w:val="20"/>
              </w:rPr>
            </w:pPr>
            <w:r w:rsidRPr="003234C5">
              <w:rPr>
                <w:rFonts w:ascii="Arial" w:hAnsi="Arial" w:cs="Arial"/>
                <w:b/>
                <w:sz w:val="20"/>
                <w:szCs w:val="20"/>
              </w:rPr>
              <w:t>TOTAIS</w:t>
            </w:r>
          </w:p>
        </w:tc>
        <w:tc>
          <w:tcPr>
            <w:tcW w:w="1348" w:type="dxa"/>
            <w:tcBorders>
              <w:top w:val="single" w:sz="4" w:space="0" w:color="auto"/>
              <w:left w:val="single" w:sz="4" w:space="0" w:color="auto"/>
              <w:bottom w:val="single" w:sz="4" w:space="0" w:color="auto"/>
              <w:right w:val="single" w:sz="4" w:space="0" w:color="auto"/>
            </w:tcBorders>
            <w:shd w:val="clear" w:color="auto" w:fill="BFBFBF"/>
          </w:tcPr>
          <w:p w14:paraId="0DA7C2BC" w14:textId="77A3EAB2" w:rsidR="00335882" w:rsidRPr="003234C5" w:rsidRDefault="00335882" w:rsidP="00335882">
            <w:pPr>
              <w:jc w:val="right"/>
              <w:rPr>
                <w:rFonts w:ascii="Arial" w:hAnsi="Arial" w:cs="Arial"/>
                <w:b/>
                <w:sz w:val="20"/>
                <w:szCs w:val="20"/>
              </w:rPr>
            </w:pPr>
            <w:r w:rsidRPr="003234C5">
              <w:rPr>
                <w:rFonts w:ascii="Arial" w:hAnsi="Arial" w:cs="Arial"/>
                <w:b/>
                <w:sz w:val="20"/>
                <w:szCs w:val="20"/>
              </w:rPr>
              <w:t xml:space="preserve"> (88.002)</w:t>
            </w:r>
          </w:p>
        </w:tc>
        <w:tc>
          <w:tcPr>
            <w:tcW w:w="1295" w:type="dxa"/>
            <w:tcBorders>
              <w:top w:val="single" w:sz="4" w:space="0" w:color="auto"/>
              <w:left w:val="single" w:sz="4" w:space="0" w:color="auto"/>
              <w:bottom w:val="single" w:sz="4" w:space="0" w:color="auto"/>
              <w:right w:val="single" w:sz="4" w:space="0" w:color="auto"/>
            </w:tcBorders>
            <w:shd w:val="clear" w:color="auto" w:fill="BFBFBF"/>
          </w:tcPr>
          <w:p w14:paraId="77E6702C" w14:textId="2A077BC9" w:rsidR="00335882" w:rsidRPr="003234C5" w:rsidRDefault="005254B4" w:rsidP="00335882">
            <w:pPr>
              <w:jc w:val="right"/>
              <w:rPr>
                <w:rFonts w:ascii="Arial" w:hAnsi="Arial" w:cs="Arial"/>
                <w:b/>
                <w:bCs/>
                <w:sz w:val="20"/>
                <w:szCs w:val="20"/>
              </w:rPr>
            </w:pPr>
            <w:r>
              <w:rPr>
                <w:rFonts w:ascii="Arial" w:hAnsi="Arial" w:cs="Arial"/>
                <w:b/>
                <w:bCs/>
                <w:sz w:val="20"/>
                <w:szCs w:val="20"/>
              </w:rPr>
              <w:t>(</w:t>
            </w:r>
            <w:r w:rsidR="005F2D47">
              <w:rPr>
                <w:rFonts w:ascii="Arial" w:hAnsi="Arial" w:cs="Arial"/>
                <w:b/>
                <w:bCs/>
                <w:sz w:val="20"/>
                <w:szCs w:val="20"/>
              </w:rPr>
              <w:t>1</w:t>
            </w:r>
            <w:r w:rsidR="00EB4006">
              <w:rPr>
                <w:rFonts w:ascii="Arial" w:hAnsi="Arial" w:cs="Arial"/>
                <w:b/>
                <w:bCs/>
                <w:sz w:val="20"/>
                <w:szCs w:val="20"/>
              </w:rPr>
              <w:t>6</w:t>
            </w:r>
            <w:r w:rsidR="005F2D47">
              <w:rPr>
                <w:rFonts w:ascii="Arial" w:hAnsi="Arial" w:cs="Arial"/>
                <w:b/>
                <w:bCs/>
                <w:sz w:val="20"/>
                <w:szCs w:val="20"/>
              </w:rPr>
              <w:t>.</w:t>
            </w:r>
            <w:r w:rsidR="00EB4006">
              <w:rPr>
                <w:rFonts w:ascii="Arial" w:hAnsi="Arial" w:cs="Arial"/>
                <w:b/>
                <w:bCs/>
                <w:sz w:val="20"/>
                <w:szCs w:val="20"/>
              </w:rPr>
              <w:t>331</w:t>
            </w:r>
            <w:r w:rsidR="005F2D47">
              <w:rPr>
                <w:rFonts w:ascii="Arial" w:hAnsi="Arial" w:cs="Arial"/>
                <w:b/>
                <w:bCs/>
                <w:sz w:val="20"/>
                <w:szCs w:val="20"/>
              </w:rPr>
              <w:t>)</w:t>
            </w:r>
          </w:p>
        </w:tc>
        <w:tc>
          <w:tcPr>
            <w:tcW w:w="1348" w:type="dxa"/>
            <w:tcBorders>
              <w:top w:val="single" w:sz="4" w:space="0" w:color="auto"/>
              <w:left w:val="single" w:sz="4" w:space="0" w:color="auto"/>
              <w:bottom w:val="single" w:sz="4" w:space="0" w:color="auto"/>
              <w:right w:val="single" w:sz="4" w:space="0" w:color="auto"/>
            </w:tcBorders>
            <w:shd w:val="clear" w:color="auto" w:fill="BFBFBF"/>
          </w:tcPr>
          <w:p w14:paraId="5E6A4BEE" w14:textId="5319E7B9" w:rsidR="00335882" w:rsidRPr="003234C5" w:rsidRDefault="00392BA3" w:rsidP="00335882">
            <w:pPr>
              <w:autoSpaceDE w:val="0"/>
              <w:autoSpaceDN w:val="0"/>
              <w:adjustRightInd w:val="0"/>
              <w:jc w:val="right"/>
              <w:rPr>
                <w:rFonts w:ascii="Arial" w:hAnsi="Arial" w:cs="Arial"/>
                <w:b/>
                <w:bCs/>
                <w:sz w:val="20"/>
                <w:szCs w:val="20"/>
              </w:rPr>
            </w:pPr>
            <w:r>
              <w:rPr>
                <w:rFonts w:ascii="Arial" w:hAnsi="Arial" w:cs="Arial"/>
                <w:b/>
                <w:bCs/>
                <w:sz w:val="20"/>
                <w:szCs w:val="20"/>
              </w:rPr>
              <w:t>1.174</w:t>
            </w:r>
          </w:p>
        </w:tc>
        <w:tc>
          <w:tcPr>
            <w:tcW w:w="1348" w:type="dxa"/>
            <w:tcBorders>
              <w:top w:val="single" w:sz="4" w:space="0" w:color="auto"/>
              <w:left w:val="single" w:sz="4" w:space="0" w:color="auto"/>
              <w:bottom w:val="single" w:sz="4" w:space="0" w:color="auto"/>
              <w:right w:val="single" w:sz="4" w:space="0" w:color="auto"/>
            </w:tcBorders>
            <w:shd w:val="clear" w:color="auto" w:fill="BFBFBF"/>
          </w:tcPr>
          <w:p w14:paraId="2EEFE4B8" w14:textId="072EC709" w:rsidR="00335882" w:rsidRPr="003234C5" w:rsidRDefault="005F2D47" w:rsidP="00335882">
            <w:pPr>
              <w:autoSpaceDE w:val="0"/>
              <w:autoSpaceDN w:val="0"/>
              <w:adjustRightInd w:val="0"/>
              <w:jc w:val="right"/>
              <w:rPr>
                <w:rFonts w:ascii="Arial" w:hAnsi="Arial" w:cs="Arial"/>
                <w:b/>
                <w:bCs/>
                <w:sz w:val="20"/>
                <w:szCs w:val="20"/>
              </w:rPr>
            </w:pPr>
            <w:r>
              <w:rPr>
                <w:rFonts w:ascii="Arial" w:hAnsi="Arial" w:cs="Arial"/>
                <w:b/>
                <w:bCs/>
                <w:sz w:val="20"/>
                <w:szCs w:val="20"/>
              </w:rPr>
              <w:t>-</w:t>
            </w:r>
          </w:p>
        </w:tc>
        <w:tc>
          <w:tcPr>
            <w:tcW w:w="1352" w:type="dxa"/>
            <w:tcBorders>
              <w:top w:val="single" w:sz="4" w:space="0" w:color="auto"/>
              <w:left w:val="single" w:sz="4" w:space="0" w:color="auto"/>
              <w:bottom w:val="single" w:sz="4" w:space="0" w:color="auto"/>
              <w:right w:val="single" w:sz="4" w:space="0" w:color="auto"/>
            </w:tcBorders>
            <w:shd w:val="clear" w:color="auto" w:fill="BFBFBF"/>
          </w:tcPr>
          <w:p w14:paraId="442638F7" w14:textId="7CE7F34F" w:rsidR="00335882" w:rsidRPr="003234C5" w:rsidRDefault="005F2D47" w:rsidP="00335882">
            <w:pPr>
              <w:jc w:val="right"/>
              <w:rPr>
                <w:rFonts w:ascii="Arial" w:hAnsi="Arial" w:cs="Arial"/>
                <w:b/>
                <w:bCs/>
                <w:sz w:val="20"/>
                <w:szCs w:val="20"/>
              </w:rPr>
            </w:pPr>
            <w:r>
              <w:rPr>
                <w:rFonts w:ascii="Arial" w:hAnsi="Arial" w:cs="Arial"/>
                <w:b/>
                <w:bCs/>
                <w:sz w:val="20"/>
                <w:szCs w:val="20"/>
              </w:rPr>
              <w:t>(103.159)</w:t>
            </w:r>
          </w:p>
        </w:tc>
      </w:tr>
      <w:tr w:rsidR="00335882" w:rsidRPr="003234C5" w14:paraId="7123A561" w14:textId="77777777" w:rsidTr="007447DE">
        <w:trPr>
          <w:cantSplit/>
          <w:trHeight w:hRule="exact" w:val="284"/>
          <w:jc w:val="center"/>
        </w:trPr>
        <w:tc>
          <w:tcPr>
            <w:tcW w:w="2523" w:type="dxa"/>
            <w:shd w:val="clear" w:color="auto" w:fill="C0C0C0"/>
            <w:vAlign w:val="center"/>
          </w:tcPr>
          <w:p w14:paraId="64DAEE89" w14:textId="77777777" w:rsidR="00335882" w:rsidRPr="003234C5" w:rsidRDefault="00335882" w:rsidP="00335882">
            <w:pPr>
              <w:autoSpaceDE w:val="0"/>
              <w:autoSpaceDN w:val="0"/>
              <w:adjustRightInd w:val="0"/>
              <w:jc w:val="both"/>
              <w:rPr>
                <w:rFonts w:ascii="Arial" w:hAnsi="Arial" w:cs="Arial"/>
                <w:b/>
                <w:sz w:val="20"/>
                <w:szCs w:val="20"/>
              </w:rPr>
            </w:pPr>
            <w:r w:rsidRPr="003234C5">
              <w:rPr>
                <w:rFonts w:ascii="Arial" w:hAnsi="Arial" w:cs="Arial"/>
                <w:b/>
                <w:sz w:val="20"/>
                <w:szCs w:val="20"/>
              </w:rPr>
              <w:t>TOTAL LÍQUIDO</w:t>
            </w:r>
          </w:p>
        </w:tc>
        <w:tc>
          <w:tcPr>
            <w:tcW w:w="1348" w:type="dxa"/>
            <w:shd w:val="clear" w:color="auto" w:fill="C0C0C0"/>
            <w:vAlign w:val="center"/>
          </w:tcPr>
          <w:p w14:paraId="3DFDF222" w14:textId="0CBBD1DA" w:rsidR="00335882" w:rsidRPr="003234C5" w:rsidRDefault="00335882" w:rsidP="00335882">
            <w:pPr>
              <w:autoSpaceDE w:val="0"/>
              <w:autoSpaceDN w:val="0"/>
              <w:adjustRightInd w:val="0"/>
              <w:jc w:val="right"/>
              <w:rPr>
                <w:rFonts w:ascii="Arial" w:hAnsi="Arial" w:cs="Arial"/>
                <w:b/>
                <w:sz w:val="20"/>
                <w:szCs w:val="20"/>
              </w:rPr>
            </w:pPr>
            <w:r w:rsidRPr="003234C5">
              <w:rPr>
                <w:rFonts w:ascii="Arial" w:hAnsi="Arial" w:cs="Arial"/>
                <w:b/>
                <w:bCs/>
                <w:color w:val="000000"/>
                <w:sz w:val="20"/>
                <w:szCs w:val="20"/>
              </w:rPr>
              <w:t>125.288</w:t>
            </w:r>
          </w:p>
        </w:tc>
        <w:tc>
          <w:tcPr>
            <w:tcW w:w="1295" w:type="dxa"/>
            <w:shd w:val="clear" w:color="auto" w:fill="C0C0C0"/>
          </w:tcPr>
          <w:p w14:paraId="523EDF90" w14:textId="3BB64018" w:rsidR="00335882" w:rsidRPr="003234C5" w:rsidRDefault="00392BA3" w:rsidP="00335882">
            <w:pPr>
              <w:autoSpaceDE w:val="0"/>
              <w:autoSpaceDN w:val="0"/>
              <w:adjustRightInd w:val="0"/>
              <w:jc w:val="right"/>
              <w:rPr>
                <w:rFonts w:ascii="Arial" w:hAnsi="Arial" w:cs="Arial"/>
                <w:b/>
                <w:bCs/>
                <w:sz w:val="20"/>
                <w:szCs w:val="20"/>
              </w:rPr>
            </w:pPr>
            <w:r>
              <w:rPr>
                <w:rFonts w:ascii="Arial" w:hAnsi="Arial" w:cs="Arial"/>
                <w:b/>
                <w:bCs/>
                <w:sz w:val="20"/>
                <w:szCs w:val="20"/>
              </w:rPr>
              <w:t>7.613</w:t>
            </w:r>
          </w:p>
        </w:tc>
        <w:tc>
          <w:tcPr>
            <w:tcW w:w="1348" w:type="dxa"/>
            <w:shd w:val="clear" w:color="auto" w:fill="C0C0C0"/>
          </w:tcPr>
          <w:p w14:paraId="51136FA7" w14:textId="6F42938B" w:rsidR="00335882" w:rsidRPr="003234C5" w:rsidRDefault="00000016" w:rsidP="00335882">
            <w:pPr>
              <w:autoSpaceDE w:val="0"/>
              <w:autoSpaceDN w:val="0"/>
              <w:adjustRightInd w:val="0"/>
              <w:jc w:val="right"/>
              <w:rPr>
                <w:rFonts w:ascii="Arial" w:hAnsi="Arial" w:cs="Arial"/>
                <w:b/>
                <w:bCs/>
                <w:sz w:val="20"/>
                <w:szCs w:val="20"/>
              </w:rPr>
            </w:pPr>
            <w:r>
              <w:rPr>
                <w:rFonts w:ascii="Arial" w:hAnsi="Arial" w:cs="Arial"/>
                <w:b/>
                <w:bCs/>
                <w:sz w:val="20"/>
                <w:szCs w:val="20"/>
              </w:rPr>
              <w:t>(</w:t>
            </w:r>
            <w:r w:rsidR="001B4BEA">
              <w:rPr>
                <w:rFonts w:ascii="Arial" w:hAnsi="Arial" w:cs="Arial"/>
                <w:b/>
                <w:bCs/>
                <w:sz w:val="20"/>
                <w:szCs w:val="20"/>
              </w:rPr>
              <w:t>2</w:t>
            </w:r>
            <w:r>
              <w:rPr>
                <w:rFonts w:ascii="Arial" w:hAnsi="Arial" w:cs="Arial"/>
                <w:b/>
                <w:bCs/>
                <w:sz w:val="20"/>
                <w:szCs w:val="20"/>
              </w:rPr>
              <w:t>92)</w:t>
            </w:r>
          </w:p>
        </w:tc>
        <w:tc>
          <w:tcPr>
            <w:tcW w:w="1348" w:type="dxa"/>
            <w:shd w:val="clear" w:color="auto" w:fill="C0C0C0"/>
          </w:tcPr>
          <w:p w14:paraId="71AF396C" w14:textId="3CA7D875" w:rsidR="00335882" w:rsidRPr="003234C5" w:rsidRDefault="00000016" w:rsidP="00335882">
            <w:pPr>
              <w:autoSpaceDE w:val="0"/>
              <w:autoSpaceDN w:val="0"/>
              <w:adjustRightInd w:val="0"/>
              <w:jc w:val="right"/>
              <w:rPr>
                <w:rFonts w:ascii="Arial" w:hAnsi="Arial" w:cs="Arial"/>
                <w:b/>
                <w:bCs/>
                <w:sz w:val="20"/>
                <w:szCs w:val="20"/>
              </w:rPr>
            </w:pPr>
            <w:r>
              <w:rPr>
                <w:rFonts w:ascii="Arial" w:hAnsi="Arial" w:cs="Arial"/>
                <w:b/>
                <w:bCs/>
                <w:sz w:val="20"/>
                <w:szCs w:val="20"/>
              </w:rPr>
              <w:t>194</w:t>
            </w:r>
          </w:p>
        </w:tc>
        <w:tc>
          <w:tcPr>
            <w:tcW w:w="1352" w:type="dxa"/>
            <w:shd w:val="clear" w:color="auto" w:fill="C0C0C0"/>
          </w:tcPr>
          <w:p w14:paraId="6A3AE9AE" w14:textId="004494C9" w:rsidR="00335882" w:rsidRPr="003234C5" w:rsidRDefault="001B4BEA" w:rsidP="00335882">
            <w:pPr>
              <w:autoSpaceDE w:val="0"/>
              <w:autoSpaceDN w:val="0"/>
              <w:adjustRightInd w:val="0"/>
              <w:jc w:val="right"/>
              <w:rPr>
                <w:rFonts w:ascii="Arial" w:hAnsi="Arial" w:cs="Arial"/>
                <w:b/>
                <w:bCs/>
                <w:sz w:val="20"/>
                <w:szCs w:val="20"/>
              </w:rPr>
            </w:pPr>
            <w:r>
              <w:rPr>
                <w:rFonts w:ascii="Arial" w:hAnsi="Arial" w:cs="Arial"/>
                <w:b/>
                <w:bCs/>
                <w:sz w:val="20"/>
                <w:szCs w:val="20"/>
              </w:rPr>
              <w:t>132.803</w:t>
            </w:r>
          </w:p>
        </w:tc>
      </w:tr>
    </w:tbl>
    <w:p w14:paraId="6ABE0EC9" w14:textId="77777777" w:rsidR="00420EC7" w:rsidRPr="003234C5" w:rsidRDefault="00420EC7" w:rsidP="00200682">
      <w:pPr>
        <w:widowControl w:val="0"/>
        <w:spacing w:after="120"/>
        <w:jc w:val="both"/>
        <w:rPr>
          <w:rFonts w:ascii="Arial" w:hAnsi="Arial" w:cs="Arial"/>
        </w:rPr>
      </w:pPr>
    </w:p>
    <w:p w14:paraId="4917A7DB" w14:textId="7B44CA63" w:rsidR="00D771A4" w:rsidRPr="003234C5" w:rsidRDefault="00200682" w:rsidP="00200682">
      <w:pPr>
        <w:suppressAutoHyphens w:val="0"/>
        <w:spacing w:after="120"/>
        <w:jc w:val="both"/>
        <w:rPr>
          <w:rFonts w:ascii="Arial" w:hAnsi="Arial" w:cs="Arial"/>
        </w:rPr>
      </w:pPr>
      <w:r w:rsidRPr="003234C5">
        <w:rPr>
          <w:rFonts w:ascii="Arial" w:hAnsi="Arial" w:cs="Arial"/>
        </w:rPr>
        <w:t xml:space="preserve">Em virtude da aplicação do ICPC 01 (R1), a taxa para a amortização dos itens que compõem o Intangível, é a estabelecida no </w:t>
      </w:r>
      <w:r w:rsidR="00F726F6" w:rsidRPr="003234C5">
        <w:rPr>
          <w:rFonts w:ascii="Arial" w:hAnsi="Arial" w:cs="Arial"/>
        </w:rPr>
        <w:t>C</w:t>
      </w:r>
      <w:r w:rsidRPr="003234C5">
        <w:rPr>
          <w:rFonts w:ascii="Arial" w:hAnsi="Arial" w:cs="Arial"/>
        </w:rPr>
        <w:t xml:space="preserve">ontrato de </w:t>
      </w:r>
      <w:r w:rsidR="00F726F6" w:rsidRPr="003234C5">
        <w:rPr>
          <w:rFonts w:ascii="Arial" w:hAnsi="Arial" w:cs="Arial"/>
        </w:rPr>
        <w:t>C</w:t>
      </w:r>
      <w:r w:rsidRPr="003234C5">
        <w:rPr>
          <w:rFonts w:ascii="Arial" w:hAnsi="Arial" w:cs="Arial"/>
        </w:rPr>
        <w:t xml:space="preserve">oncessão firmado com o Governo do Estado do Ceará, o qual estabelece o prazo de 10 anos. O método da amortização está fundamentado no item 98B da Revisão </w:t>
      </w:r>
      <w:r w:rsidR="004C32BB" w:rsidRPr="003234C5">
        <w:rPr>
          <w:rFonts w:ascii="Arial" w:hAnsi="Arial" w:cs="Arial"/>
        </w:rPr>
        <w:t>N°</w:t>
      </w:r>
      <w:r w:rsidR="004C32BB">
        <w:rPr>
          <w:rFonts w:ascii="Arial" w:hAnsi="Arial" w:cs="Arial"/>
        </w:rPr>
        <w:t xml:space="preserve"> </w:t>
      </w:r>
      <w:r w:rsidR="004C32BB" w:rsidRPr="003234C5">
        <w:rPr>
          <w:rFonts w:ascii="Arial" w:hAnsi="Arial" w:cs="Arial"/>
        </w:rPr>
        <w:t xml:space="preserve">08/15 </w:t>
      </w:r>
      <w:r w:rsidRPr="003234C5">
        <w:rPr>
          <w:rFonts w:ascii="Arial" w:hAnsi="Arial" w:cs="Arial"/>
        </w:rPr>
        <w:t>d</w:t>
      </w:r>
      <w:r w:rsidR="004C32BB">
        <w:rPr>
          <w:rFonts w:ascii="Arial" w:hAnsi="Arial" w:cs="Arial"/>
        </w:rPr>
        <w:t>o</w:t>
      </w:r>
      <w:r w:rsidRPr="003234C5">
        <w:rPr>
          <w:rFonts w:ascii="Arial" w:hAnsi="Arial" w:cs="Arial"/>
        </w:rPr>
        <w:t xml:space="preserve"> Pronunciamento Técnico aprovado pelo Conselho Federal de Contabilidade, que estabelece a possibilidade </w:t>
      </w:r>
      <w:r w:rsidR="00CD207A" w:rsidRPr="003234C5">
        <w:rPr>
          <w:rFonts w:ascii="Arial" w:hAnsi="Arial" w:cs="Arial"/>
        </w:rPr>
        <w:t>de a</w:t>
      </w:r>
      <w:r w:rsidRPr="003234C5">
        <w:rPr>
          <w:rFonts w:ascii="Arial" w:hAnsi="Arial" w:cs="Arial"/>
        </w:rPr>
        <w:t xml:space="preserve"> Companhia determinar sua taxa em decorrência de </w:t>
      </w:r>
      <w:proofErr w:type="gramStart"/>
      <w:r w:rsidRPr="003234C5">
        <w:rPr>
          <w:rFonts w:ascii="Arial" w:hAnsi="Arial" w:cs="Arial"/>
        </w:rPr>
        <w:t>um  fator</w:t>
      </w:r>
      <w:proofErr w:type="gramEnd"/>
      <w:r w:rsidRPr="003234C5">
        <w:rPr>
          <w:rFonts w:ascii="Arial" w:hAnsi="Arial" w:cs="Arial"/>
        </w:rPr>
        <w:t xml:space="preserve"> limitante predominante que é inerente ao seu ativo intangível. </w:t>
      </w:r>
    </w:p>
    <w:p w14:paraId="335A50FC" w14:textId="59227006" w:rsidR="00200682" w:rsidRPr="003234C5" w:rsidRDefault="00200682" w:rsidP="00C4541B">
      <w:pPr>
        <w:jc w:val="both"/>
        <w:rPr>
          <w:rFonts w:ascii="Arial" w:hAnsi="Arial" w:cs="Arial"/>
        </w:rPr>
      </w:pPr>
      <w:r w:rsidRPr="003234C5">
        <w:rPr>
          <w:rFonts w:ascii="Arial" w:hAnsi="Arial" w:cs="Arial"/>
        </w:rPr>
        <w:t xml:space="preserve">Através de estudos efetuados, foi demonstrado que o valor contábil líquido do intangível apresenta capacidade de recuperação, pois o valor presente dos seus fluxos de caixa futuros, ou seja, seu valor em uso é maior do que o seu valor contábil registrado, conforme define </w:t>
      </w:r>
      <w:r w:rsidR="00A912FF" w:rsidRPr="003234C5">
        <w:rPr>
          <w:rFonts w:ascii="Arial" w:hAnsi="Arial" w:cs="Arial"/>
        </w:rPr>
        <w:t xml:space="preserve">a </w:t>
      </w:r>
      <w:r w:rsidRPr="003234C5">
        <w:rPr>
          <w:rFonts w:ascii="Arial" w:hAnsi="Arial" w:cs="Arial"/>
        </w:rPr>
        <w:lastRenderedPageBreak/>
        <w:t>NBCTG 01 (R3) que visa assegurar que os ativos da sociedade não estejam registrados contabilmente por um valor superior àquele passível de ser recuperado por uso ou venda.</w:t>
      </w:r>
    </w:p>
    <w:p w14:paraId="2AE1A79E" w14:textId="128FCE57" w:rsidR="00200682" w:rsidRPr="003234C5" w:rsidRDefault="00200682" w:rsidP="00A746E0">
      <w:pPr>
        <w:widowControl w:val="0"/>
        <w:spacing w:before="240"/>
        <w:jc w:val="both"/>
        <w:rPr>
          <w:rFonts w:ascii="Arial" w:hAnsi="Arial" w:cs="Arial"/>
          <w:b/>
        </w:rPr>
      </w:pPr>
      <w:r w:rsidRPr="003234C5">
        <w:rPr>
          <w:rFonts w:ascii="Arial" w:hAnsi="Arial" w:cs="Arial"/>
          <w:b/>
        </w:rPr>
        <w:t>NOTA 1</w:t>
      </w:r>
      <w:r w:rsidR="003341C7">
        <w:rPr>
          <w:rFonts w:ascii="Arial" w:hAnsi="Arial" w:cs="Arial"/>
          <w:b/>
        </w:rPr>
        <w:t>9</w:t>
      </w:r>
      <w:r w:rsidRPr="003234C5">
        <w:rPr>
          <w:rFonts w:ascii="Arial" w:hAnsi="Arial" w:cs="Arial"/>
          <w:b/>
        </w:rPr>
        <w:t xml:space="preserve">. FORNECEDORES </w:t>
      </w:r>
    </w:p>
    <w:p w14:paraId="56F26CFB" w14:textId="18E64754" w:rsidR="00474D18" w:rsidRPr="003234C5" w:rsidRDefault="00200682" w:rsidP="00200682">
      <w:pPr>
        <w:jc w:val="both"/>
        <w:rPr>
          <w:rFonts w:ascii="Arial" w:hAnsi="Arial" w:cs="Arial"/>
        </w:rPr>
      </w:pPr>
      <w:r w:rsidRPr="003234C5">
        <w:rPr>
          <w:rFonts w:ascii="Arial" w:hAnsi="Arial" w:cs="Arial"/>
        </w:rPr>
        <w:t xml:space="preserve">O saldo da conta Fornecedores é composto em sua maior parte pelas obrigações a pagar à </w:t>
      </w:r>
      <w:r w:rsidR="00A0161E" w:rsidRPr="003234C5">
        <w:rPr>
          <w:rFonts w:ascii="Arial" w:hAnsi="Arial" w:cs="Arial"/>
        </w:rPr>
        <w:t>Petrobras</w:t>
      </w:r>
      <w:r w:rsidRPr="003234C5">
        <w:rPr>
          <w:rFonts w:ascii="Arial" w:hAnsi="Arial" w:cs="Arial"/>
        </w:rPr>
        <w:t xml:space="preserve"> pela aquisição de gás natural</w:t>
      </w:r>
      <w:r w:rsidR="00710DF2" w:rsidRPr="003234C5">
        <w:rPr>
          <w:rFonts w:ascii="Arial" w:hAnsi="Arial" w:cs="Arial"/>
        </w:rPr>
        <w:t xml:space="preserve">, a conta Outros refere-se a aquisições </w:t>
      </w:r>
      <w:r w:rsidR="00B951C8" w:rsidRPr="003234C5">
        <w:rPr>
          <w:rFonts w:ascii="Arial" w:hAnsi="Arial" w:cs="Arial"/>
        </w:rPr>
        <w:t xml:space="preserve">de bens destinados </w:t>
      </w:r>
      <w:r w:rsidR="00A067B9" w:rsidRPr="003234C5">
        <w:rPr>
          <w:rFonts w:ascii="Arial" w:hAnsi="Arial" w:cs="Arial"/>
        </w:rPr>
        <w:t xml:space="preserve">à </w:t>
      </w:r>
      <w:r w:rsidR="00B951C8" w:rsidRPr="003234C5">
        <w:rPr>
          <w:rFonts w:ascii="Arial" w:hAnsi="Arial" w:cs="Arial"/>
        </w:rPr>
        <w:t xml:space="preserve">construção da rede de distribuição de gás e </w:t>
      </w:r>
      <w:r w:rsidR="00A067B9" w:rsidRPr="003234C5">
        <w:rPr>
          <w:rFonts w:ascii="Arial" w:hAnsi="Arial" w:cs="Arial"/>
        </w:rPr>
        <w:t xml:space="preserve">à </w:t>
      </w:r>
      <w:r w:rsidR="00B951C8" w:rsidRPr="003234C5">
        <w:rPr>
          <w:rFonts w:ascii="Arial" w:hAnsi="Arial" w:cs="Arial"/>
        </w:rPr>
        <w:t>aquisição de mat</w:t>
      </w:r>
      <w:r w:rsidR="003C3247" w:rsidRPr="003234C5">
        <w:rPr>
          <w:rFonts w:ascii="Arial" w:hAnsi="Arial" w:cs="Arial"/>
        </w:rPr>
        <w:t>e</w:t>
      </w:r>
      <w:r w:rsidR="00B951C8" w:rsidRPr="003234C5">
        <w:rPr>
          <w:rFonts w:ascii="Arial" w:hAnsi="Arial" w:cs="Arial"/>
        </w:rPr>
        <w:t>ria</w:t>
      </w:r>
      <w:r w:rsidR="003C3247" w:rsidRPr="003234C5">
        <w:rPr>
          <w:rFonts w:ascii="Arial" w:hAnsi="Arial" w:cs="Arial"/>
        </w:rPr>
        <w:t>i</w:t>
      </w:r>
      <w:r w:rsidR="00B951C8" w:rsidRPr="003234C5">
        <w:rPr>
          <w:rFonts w:ascii="Arial" w:hAnsi="Arial" w:cs="Arial"/>
        </w:rPr>
        <w:t>s e serviços para a gestão e manutenção da máquina administrativa da Companhia, conforme demonstrado abaixo:</w:t>
      </w:r>
    </w:p>
    <w:tbl>
      <w:tblPr>
        <w:tblW w:w="9086" w:type="dxa"/>
        <w:jc w:val="center"/>
        <w:tblCellMar>
          <w:left w:w="70" w:type="dxa"/>
          <w:right w:w="70" w:type="dxa"/>
        </w:tblCellMar>
        <w:tblLook w:val="0000" w:firstRow="0" w:lastRow="0" w:firstColumn="0" w:lastColumn="0" w:noHBand="0" w:noVBand="0"/>
      </w:tblPr>
      <w:tblGrid>
        <w:gridCol w:w="6417"/>
        <w:gridCol w:w="1393"/>
        <w:gridCol w:w="1276"/>
      </w:tblGrid>
      <w:tr w:rsidR="00FF75EA" w:rsidRPr="003234C5" w14:paraId="01260DDD" w14:textId="77777777" w:rsidTr="00EA5333">
        <w:trPr>
          <w:trHeight w:val="315"/>
          <w:jc w:val="center"/>
        </w:trPr>
        <w:tc>
          <w:tcPr>
            <w:tcW w:w="6417" w:type="dxa"/>
            <w:tcBorders>
              <w:top w:val="single" w:sz="4" w:space="0" w:color="auto"/>
              <w:left w:val="single" w:sz="4" w:space="0" w:color="auto"/>
              <w:bottom w:val="single" w:sz="4" w:space="0" w:color="auto"/>
              <w:right w:val="single" w:sz="4" w:space="0" w:color="auto"/>
            </w:tcBorders>
            <w:shd w:val="clear" w:color="auto" w:fill="C0C0C0"/>
            <w:vAlign w:val="bottom"/>
          </w:tcPr>
          <w:p w14:paraId="3EB6ED06" w14:textId="77777777" w:rsidR="00FF75EA" w:rsidRPr="003234C5" w:rsidRDefault="00FF75EA" w:rsidP="00FF75EA">
            <w:pPr>
              <w:spacing w:after="0"/>
              <w:jc w:val="both"/>
              <w:rPr>
                <w:rFonts w:ascii="Arial" w:hAnsi="Arial" w:cs="Arial"/>
                <w:sz w:val="20"/>
                <w:szCs w:val="20"/>
              </w:rPr>
            </w:pPr>
            <w:r w:rsidRPr="003234C5">
              <w:rPr>
                <w:rFonts w:ascii="Arial" w:hAnsi="Arial" w:cs="Arial"/>
                <w:sz w:val="20"/>
                <w:szCs w:val="20"/>
              </w:rPr>
              <w:t> </w:t>
            </w:r>
            <w:r w:rsidRPr="003234C5">
              <w:rPr>
                <w:rFonts w:ascii="Arial" w:hAnsi="Arial" w:cs="Arial"/>
                <w:b/>
                <w:bCs/>
                <w:sz w:val="20"/>
                <w:szCs w:val="20"/>
              </w:rPr>
              <w:t>DESCRIÇÃO</w:t>
            </w:r>
          </w:p>
        </w:tc>
        <w:tc>
          <w:tcPr>
            <w:tcW w:w="1393" w:type="dxa"/>
            <w:tcBorders>
              <w:top w:val="single" w:sz="4" w:space="0" w:color="auto"/>
              <w:left w:val="nil"/>
              <w:bottom w:val="single" w:sz="4" w:space="0" w:color="auto"/>
              <w:right w:val="single" w:sz="4" w:space="0" w:color="auto"/>
            </w:tcBorders>
            <w:shd w:val="clear" w:color="auto" w:fill="C0C0C0"/>
            <w:vAlign w:val="bottom"/>
          </w:tcPr>
          <w:p w14:paraId="0AAFD6ED" w14:textId="148F2E64" w:rsidR="00FF75EA" w:rsidRPr="003234C5" w:rsidRDefault="00C6257E" w:rsidP="00FF75EA">
            <w:pPr>
              <w:spacing w:after="0"/>
              <w:jc w:val="center"/>
              <w:rPr>
                <w:rFonts w:ascii="Arial" w:hAnsi="Arial" w:cs="Arial"/>
                <w:b/>
                <w:bCs/>
                <w:sz w:val="20"/>
                <w:szCs w:val="20"/>
              </w:rPr>
            </w:pPr>
            <w:r>
              <w:rPr>
                <w:rFonts w:ascii="Arial" w:hAnsi="Arial" w:cs="Arial"/>
                <w:b/>
                <w:bCs/>
                <w:color w:val="000000"/>
                <w:sz w:val="20"/>
                <w:szCs w:val="20"/>
              </w:rPr>
              <w:t>2019</w:t>
            </w:r>
          </w:p>
        </w:tc>
        <w:tc>
          <w:tcPr>
            <w:tcW w:w="1276" w:type="dxa"/>
            <w:tcBorders>
              <w:top w:val="single" w:sz="4" w:space="0" w:color="auto"/>
              <w:left w:val="nil"/>
              <w:bottom w:val="single" w:sz="4" w:space="0" w:color="auto"/>
              <w:right w:val="single" w:sz="4" w:space="0" w:color="auto"/>
            </w:tcBorders>
            <w:shd w:val="clear" w:color="auto" w:fill="C0C0C0"/>
            <w:vAlign w:val="bottom"/>
          </w:tcPr>
          <w:p w14:paraId="16D4EA1D" w14:textId="4C752821" w:rsidR="00FF75EA" w:rsidRPr="003234C5" w:rsidRDefault="00C6257E" w:rsidP="00FF75EA">
            <w:pPr>
              <w:spacing w:after="0"/>
              <w:jc w:val="center"/>
              <w:rPr>
                <w:rFonts w:ascii="Arial" w:hAnsi="Arial" w:cs="Arial"/>
                <w:b/>
                <w:bCs/>
                <w:sz w:val="20"/>
                <w:szCs w:val="20"/>
              </w:rPr>
            </w:pPr>
            <w:r>
              <w:rPr>
                <w:rFonts w:ascii="Arial" w:hAnsi="Arial" w:cs="Arial"/>
                <w:b/>
                <w:bCs/>
                <w:color w:val="000000"/>
                <w:sz w:val="20"/>
                <w:szCs w:val="20"/>
              </w:rPr>
              <w:t>2018</w:t>
            </w:r>
          </w:p>
        </w:tc>
      </w:tr>
      <w:tr w:rsidR="00335882" w:rsidRPr="003234C5" w14:paraId="5E608198" w14:textId="77777777" w:rsidTr="002F280D">
        <w:trPr>
          <w:trHeight w:val="188"/>
          <w:jc w:val="center"/>
        </w:trPr>
        <w:tc>
          <w:tcPr>
            <w:tcW w:w="6417" w:type="dxa"/>
            <w:tcBorders>
              <w:top w:val="nil"/>
              <w:left w:val="single" w:sz="4" w:space="0" w:color="auto"/>
              <w:bottom w:val="single" w:sz="4" w:space="0" w:color="auto"/>
              <w:right w:val="single" w:sz="4" w:space="0" w:color="auto"/>
            </w:tcBorders>
            <w:shd w:val="clear" w:color="auto" w:fill="FFFFFF"/>
            <w:vAlign w:val="bottom"/>
          </w:tcPr>
          <w:p w14:paraId="2BEE9B06" w14:textId="53DF15D9" w:rsidR="00335882" w:rsidRPr="003234C5" w:rsidRDefault="00335882" w:rsidP="00335882">
            <w:pPr>
              <w:spacing w:after="0"/>
              <w:jc w:val="both"/>
              <w:rPr>
                <w:rFonts w:ascii="Arial" w:hAnsi="Arial" w:cs="Arial"/>
                <w:sz w:val="20"/>
                <w:szCs w:val="20"/>
              </w:rPr>
            </w:pPr>
            <w:r w:rsidRPr="003234C5">
              <w:rPr>
                <w:rFonts w:ascii="Arial" w:hAnsi="Arial" w:cs="Arial"/>
                <w:sz w:val="20"/>
                <w:szCs w:val="20"/>
              </w:rPr>
              <w:t>Petrobras – Aquisição de gás natural</w:t>
            </w:r>
          </w:p>
        </w:tc>
        <w:tc>
          <w:tcPr>
            <w:tcW w:w="1393" w:type="dxa"/>
            <w:tcBorders>
              <w:top w:val="nil"/>
              <w:left w:val="nil"/>
              <w:bottom w:val="single" w:sz="4" w:space="0" w:color="auto"/>
              <w:right w:val="single" w:sz="4" w:space="0" w:color="auto"/>
            </w:tcBorders>
            <w:shd w:val="clear" w:color="auto" w:fill="FFFFFF"/>
            <w:vAlign w:val="center"/>
          </w:tcPr>
          <w:p w14:paraId="7BBDF072" w14:textId="6000150B" w:rsidR="00335882" w:rsidRPr="00955DFA" w:rsidRDefault="00955DFA" w:rsidP="00955DFA">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60.781</w:t>
            </w:r>
          </w:p>
        </w:tc>
        <w:tc>
          <w:tcPr>
            <w:tcW w:w="1276" w:type="dxa"/>
            <w:tcBorders>
              <w:top w:val="nil"/>
              <w:left w:val="nil"/>
              <w:bottom w:val="single" w:sz="4" w:space="0" w:color="auto"/>
              <w:right w:val="single" w:sz="4" w:space="0" w:color="auto"/>
            </w:tcBorders>
            <w:shd w:val="clear" w:color="auto" w:fill="FFFFFF"/>
            <w:vAlign w:val="center"/>
          </w:tcPr>
          <w:p w14:paraId="40BE44C1" w14:textId="79EEB0F1"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12.865</w:t>
            </w:r>
          </w:p>
        </w:tc>
      </w:tr>
      <w:tr w:rsidR="00335882" w:rsidRPr="003234C5" w14:paraId="3ABEDA8A" w14:textId="77777777" w:rsidTr="002F280D">
        <w:trPr>
          <w:trHeight w:val="174"/>
          <w:jc w:val="center"/>
        </w:trPr>
        <w:tc>
          <w:tcPr>
            <w:tcW w:w="6417" w:type="dxa"/>
            <w:tcBorders>
              <w:top w:val="nil"/>
              <w:left w:val="single" w:sz="4" w:space="0" w:color="auto"/>
              <w:bottom w:val="single" w:sz="4" w:space="0" w:color="auto"/>
              <w:right w:val="single" w:sz="4" w:space="0" w:color="auto"/>
            </w:tcBorders>
            <w:shd w:val="clear" w:color="auto" w:fill="FFFFFF"/>
            <w:vAlign w:val="bottom"/>
          </w:tcPr>
          <w:p w14:paraId="37588A1F" w14:textId="579323BB" w:rsidR="00335882" w:rsidRPr="003234C5" w:rsidRDefault="00335882" w:rsidP="00335882">
            <w:pPr>
              <w:spacing w:after="0"/>
              <w:jc w:val="both"/>
              <w:rPr>
                <w:rFonts w:ascii="Arial" w:hAnsi="Arial" w:cs="Arial"/>
                <w:sz w:val="20"/>
                <w:szCs w:val="20"/>
              </w:rPr>
            </w:pPr>
            <w:r w:rsidRPr="003234C5">
              <w:rPr>
                <w:rFonts w:ascii="Arial" w:hAnsi="Arial" w:cs="Arial"/>
                <w:sz w:val="20"/>
                <w:szCs w:val="20"/>
              </w:rPr>
              <w:t>Petrobras – Serviço de manutenção da Rede de Gasodutos</w:t>
            </w:r>
          </w:p>
        </w:tc>
        <w:tc>
          <w:tcPr>
            <w:tcW w:w="1393" w:type="dxa"/>
            <w:tcBorders>
              <w:top w:val="nil"/>
              <w:left w:val="nil"/>
              <w:bottom w:val="single" w:sz="4" w:space="0" w:color="auto"/>
              <w:right w:val="single" w:sz="4" w:space="0" w:color="auto"/>
            </w:tcBorders>
            <w:shd w:val="clear" w:color="auto" w:fill="FFFFFF"/>
            <w:vAlign w:val="center"/>
          </w:tcPr>
          <w:p w14:paraId="5AB7A24C" w14:textId="6ACF5222" w:rsidR="00335882" w:rsidRPr="003234C5" w:rsidRDefault="00D65CB3" w:rsidP="00335882">
            <w:pPr>
              <w:spacing w:after="0"/>
              <w:jc w:val="right"/>
              <w:rPr>
                <w:rFonts w:ascii="Arial" w:hAnsi="Arial" w:cs="Arial"/>
                <w:sz w:val="20"/>
                <w:szCs w:val="20"/>
              </w:rPr>
            </w:pPr>
            <w:r>
              <w:rPr>
                <w:rFonts w:ascii="Arial" w:hAnsi="Arial" w:cs="Arial"/>
                <w:sz w:val="20"/>
                <w:szCs w:val="20"/>
              </w:rPr>
              <w:t>8.564</w:t>
            </w:r>
          </w:p>
        </w:tc>
        <w:tc>
          <w:tcPr>
            <w:tcW w:w="1276" w:type="dxa"/>
            <w:tcBorders>
              <w:top w:val="nil"/>
              <w:left w:val="nil"/>
              <w:bottom w:val="single" w:sz="4" w:space="0" w:color="auto"/>
              <w:right w:val="single" w:sz="4" w:space="0" w:color="auto"/>
            </w:tcBorders>
            <w:shd w:val="clear" w:color="auto" w:fill="FFFFFF"/>
            <w:vAlign w:val="center"/>
          </w:tcPr>
          <w:p w14:paraId="51DA320C" w14:textId="34153DCF"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5.282</w:t>
            </w:r>
          </w:p>
        </w:tc>
      </w:tr>
      <w:tr w:rsidR="00335882" w:rsidRPr="003234C5" w14:paraId="5674E641" w14:textId="77777777" w:rsidTr="002F280D">
        <w:trPr>
          <w:trHeight w:val="115"/>
          <w:jc w:val="center"/>
        </w:trPr>
        <w:tc>
          <w:tcPr>
            <w:tcW w:w="6417" w:type="dxa"/>
            <w:tcBorders>
              <w:top w:val="nil"/>
              <w:left w:val="single" w:sz="4" w:space="0" w:color="auto"/>
              <w:bottom w:val="single" w:sz="4" w:space="0" w:color="auto"/>
              <w:right w:val="single" w:sz="4" w:space="0" w:color="auto"/>
            </w:tcBorders>
            <w:shd w:val="clear" w:color="auto" w:fill="FFFFFF"/>
            <w:vAlign w:val="bottom"/>
          </w:tcPr>
          <w:p w14:paraId="46D2B45A" w14:textId="77777777" w:rsidR="00335882" w:rsidRPr="003234C5" w:rsidRDefault="00335882" w:rsidP="00335882">
            <w:pPr>
              <w:spacing w:after="0"/>
              <w:jc w:val="both"/>
              <w:rPr>
                <w:rFonts w:ascii="Arial" w:hAnsi="Arial" w:cs="Arial"/>
                <w:sz w:val="20"/>
                <w:szCs w:val="20"/>
              </w:rPr>
            </w:pPr>
            <w:r w:rsidRPr="003234C5">
              <w:rPr>
                <w:rFonts w:ascii="Arial" w:hAnsi="Arial" w:cs="Arial"/>
                <w:sz w:val="20"/>
                <w:szCs w:val="20"/>
              </w:rPr>
              <w:t>Outros</w:t>
            </w:r>
          </w:p>
        </w:tc>
        <w:tc>
          <w:tcPr>
            <w:tcW w:w="1393" w:type="dxa"/>
            <w:tcBorders>
              <w:top w:val="nil"/>
              <w:left w:val="nil"/>
              <w:bottom w:val="single" w:sz="4" w:space="0" w:color="auto"/>
              <w:right w:val="single" w:sz="4" w:space="0" w:color="auto"/>
            </w:tcBorders>
            <w:shd w:val="clear" w:color="auto" w:fill="FFFFFF"/>
            <w:vAlign w:val="center"/>
          </w:tcPr>
          <w:p w14:paraId="1C5DC0D5" w14:textId="5F1068B4" w:rsidR="00335882" w:rsidRPr="003234C5" w:rsidRDefault="00D65CB3" w:rsidP="00335882">
            <w:pPr>
              <w:spacing w:after="0"/>
              <w:jc w:val="right"/>
              <w:rPr>
                <w:rFonts w:ascii="Arial" w:hAnsi="Arial" w:cs="Arial"/>
                <w:sz w:val="20"/>
                <w:szCs w:val="20"/>
              </w:rPr>
            </w:pPr>
            <w:r>
              <w:rPr>
                <w:rFonts w:ascii="Arial" w:hAnsi="Arial" w:cs="Arial"/>
                <w:sz w:val="20"/>
                <w:szCs w:val="20"/>
              </w:rPr>
              <w:t>10.888</w:t>
            </w:r>
          </w:p>
        </w:tc>
        <w:tc>
          <w:tcPr>
            <w:tcW w:w="1276" w:type="dxa"/>
            <w:tcBorders>
              <w:top w:val="nil"/>
              <w:left w:val="nil"/>
              <w:bottom w:val="single" w:sz="4" w:space="0" w:color="auto"/>
              <w:right w:val="single" w:sz="4" w:space="0" w:color="auto"/>
            </w:tcBorders>
            <w:shd w:val="clear" w:color="auto" w:fill="FFFFFF"/>
            <w:vAlign w:val="center"/>
          </w:tcPr>
          <w:p w14:paraId="53BB6094" w14:textId="613D604F"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13.306</w:t>
            </w:r>
          </w:p>
        </w:tc>
      </w:tr>
      <w:tr w:rsidR="00335882" w:rsidRPr="003234C5" w14:paraId="10859C9A" w14:textId="77777777" w:rsidTr="002F280D">
        <w:trPr>
          <w:trHeight w:val="255"/>
          <w:jc w:val="center"/>
        </w:trPr>
        <w:tc>
          <w:tcPr>
            <w:tcW w:w="6417" w:type="dxa"/>
            <w:tcBorders>
              <w:top w:val="nil"/>
              <w:left w:val="single" w:sz="4" w:space="0" w:color="auto"/>
              <w:bottom w:val="single" w:sz="4" w:space="0" w:color="auto"/>
              <w:right w:val="single" w:sz="4" w:space="0" w:color="auto"/>
            </w:tcBorders>
            <w:shd w:val="clear" w:color="auto" w:fill="C0C0C0"/>
            <w:vAlign w:val="bottom"/>
          </w:tcPr>
          <w:p w14:paraId="5DB2394F" w14:textId="77777777" w:rsidR="00335882" w:rsidRPr="003234C5" w:rsidRDefault="00335882" w:rsidP="00335882">
            <w:pPr>
              <w:spacing w:after="0"/>
              <w:jc w:val="both"/>
              <w:rPr>
                <w:rFonts w:ascii="Arial" w:hAnsi="Arial" w:cs="Arial"/>
                <w:b/>
                <w:bCs/>
                <w:sz w:val="20"/>
                <w:szCs w:val="20"/>
              </w:rPr>
            </w:pPr>
            <w:r w:rsidRPr="003234C5">
              <w:rPr>
                <w:rFonts w:ascii="Arial" w:hAnsi="Arial" w:cs="Arial"/>
                <w:b/>
                <w:bCs/>
                <w:sz w:val="20"/>
                <w:szCs w:val="20"/>
              </w:rPr>
              <w:t>TOTAL</w:t>
            </w:r>
          </w:p>
        </w:tc>
        <w:tc>
          <w:tcPr>
            <w:tcW w:w="1393" w:type="dxa"/>
            <w:tcBorders>
              <w:top w:val="nil"/>
              <w:left w:val="nil"/>
              <w:bottom w:val="single" w:sz="4" w:space="0" w:color="auto"/>
              <w:right w:val="single" w:sz="4" w:space="0" w:color="auto"/>
            </w:tcBorders>
            <w:shd w:val="clear" w:color="auto" w:fill="C0C0C0"/>
            <w:vAlign w:val="center"/>
          </w:tcPr>
          <w:p w14:paraId="194D628B" w14:textId="31BBED12" w:rsidR="00335882" w:rsidRPr="003234C5" w:rsidRDefault="00D65CB3" w:rsidP="00335882">
            <w:pPr>
              <w:spacing w:after="0"/>
              <w:jc w:val="right"/>
              <w:rPr>
                <w:rFonts w:ascii="Arial" w:hAnsi="Arial" w:cs="Arial"/>
                <w:b/>
                <w:bCs/>
                <w:sz w:val="20"/>
                <w:szCs w:val="20"/>
              </w:rPr>
            </w:pPr>
            <w:r>
              <w:rPr>
                <w:rFonts w:ascii="Arial" w:hAnsi="Arial" w:cs="Arial"/>
                <w:b/>
                <w:bCs/>
                <w:sz w:val="20"/>
                <w:szCs w:val="20"/>
              </w:rPr>
              <w:t>80.233</w:t>
            </w:r>
          </w:p>
        </w:tc>
        <w:tc>
          <w:tcPr>
            <w:tcW w:w="1276" w:type="dxa"/>
            <w:tcBorders>
              <w:top w:val="nil"/>
              <w:left w:val="nil"/>
              <w:bottom w:val="single" w:sz="4" w:space="0" w:color="auto"/>
              <w:right w:val="single" w:sz="4" w:space="0" w:color="auto"/>
            </w:tcBorders>
            <w:shd w:val="clear" w:color="auto" w:fill="C0C0C0"/>
            <w:vAlign w:val="center"/>
          </w:tcPr>
          <w:p w14:paraId="48CA35FA" w14:textId="4F79B6AF" w:rsidR="00335882" w:rsidRPr="003234C5" w:rsidRDefault="00335882" w:rsidP="00335882">
            <w:pPr>
              <w:spacing w:after="0"/>
              <w:jc w:val="right"/>
              <w:rPr>
                <w:rFonts w:ascii="Arial" w:hAnsi="Arial" w:cs="Arial"/>
                <w:b/>
                <w:bCs/>
                <w:sz w:val="20"/>
                <w:szCs w:val="20"/>
              </w:rPr>
            </w:pPr>
            <w:r w:rsidRPr="003234C5">
              <w:rPr>
                <w:rFonts w:ascii="Arial" w:hAnsi="Arial" w:cs="Arial"/>
                <w:b/>
                <w:bCs/>
                <w:color w:val="000000"/>
                <w:sz w:val="20"/>
                <w:szCs w:val="20"/>
              </w:rPr>
              <w:t>31.453</w:t>
            </w:r>
          </w:p>
        </w:tc>
      </w:tr>
    </w:tbl>
    <w:p w14:paraId="50BEC055" w14:textId="33605116" w:rsidR="00620790" w:rsidRDefault="00620790" w:rsidP="00200682">
      <w:pPr>
        <w:widowControl w:val="0"/>
        <w:jc w:val="both"/>
        <w:rPr>
          <w:rFonts w:ascii="Arial" w:hAnsi="Arial" w:cs="Arial"/>
          <w:b/>
          <w:sz w:val="24"/>
          <w:szCs w:val="24"/>
        </w:rPr>
      </w:pPr>
    </w:p>
    <w:p w14:paraId="40F489CE" w14:textId="292DB9AC" w:rsidR="00BE7892" w:rsidRDefault="00B96A83" w:rsidP="00200682">
      <w:pPr>
        <w:widowControl w:val="0"/>
        <w:jc w:val="both"/>
        <w:rPr>
          <w:rFonts w:ascii="Arial" w:hAnsi="Arial" w:cs="Arial"/>
        </w:rPr>
      </w:pPr>
      <w:r w:rsidRPr="00534BEA">
        <w:rPr>
          <w:rFonts w:ascii="Arial" w:hAnsi="Arial" w:cs="Arial"/>
        </w:rPr>
        <w:t xml:space="preserve">Em 16 de agosto de 2019 foi assinado o Termo de Encerramento de Pendência – TEP entre Petrobras e </w:t>
      </w:r>
      <w:proofErr w:type="spellStart"/>
      <w:r w:rsidRPr="00534BEA">
        <w:rPr>
          <w:rFonts w:ascii="Arial" w:hAnsi="Arial" w:cs="Arial"/>
        </w:rPr>
        <w:t>Cegás</w:t>
      </w:r>
      <w:proofErr w:type="spellEnd"/>
      <w:r w:rsidRPr="00534BEA">
        <w:rPr>
          <w:rFonts w:ascii="Arial" w:hAnsi="Arial" w:cs="Arial"/>
        </w:rPr>
        <w:t xml:space="preserve"> com o intuito de resolver, entre outros, pendências decorrentes da </w:t>
      </w:r>
      <w:r w:rsidR="00196AE7">
        <w:rPr>
          <w:rFonts w:ascii="Arial" w:hAnsi="Arial" w:cs="Arial"/>
        </w:rPr>
        <w:t xml:space="preserve">execução , construção, montagem </w:t>
      </w:r>
      <w:r w:rsidR="00F55F6C">
        <w:rPr>
          <w:rFonts w:ascii="Arial" w:hAnsi="Arial" w:cs="Arial"/>
        </w:rPr>
        <w:t xml:space="preserve">do Gasoduto de Conexão </w:t>
      </w:r>
      <w:r w:rsidR="00F94868">
        <w:rPr>
          <w:rFonts w:ascii="Arial" w:hAnsi="Arial" w:cs="Arial"/>
        </w:rPr>
        <w:t>e da Estação de Medição, Regulagem e Pressão (EMRP)</w:t>
      </w:r>
      <w:r w:rsidR="006D7905">
        <w:rPr>
          <w:rFonts w:ascii="Arial" w:hAnsi="Arial" w:cs="Arial"/>
        </w:rPr>
        <w:t xml:space="preserve"> </w:t>
      </w:r>
      <w:r w:rsidR="00AC5B9D">
        <w:rPr>
          <w:rFonts w:ascii="Arial" w:hAnsi="Arial" w:cs="Arial"/>
        </w:rPr>
        <w:t xml:space="preserve">, explicado na Nota </w:t>
      </w:r>
      <w:r w:rsidR="00C677A1">
        <w:rPr>
          <w:rFonts w:ascii="Arial" w:hAnsi="Arial" w:cs="Arial"/>
        </w:rPr>
        <w:t>20</w:t>
      </w:r>
      <w:r w:rsidR="00AC5B9D">
        <w:rPr>
          <w:rFonts w:ascii="Arial" w:hAnsi="Arial" w:cs="Arial"/>
        </w:rPr>
        <w:t xml:space="preserve">, além das pendências referentes à operação </w:t>
      </w:r>
      <w:r w:rsidRPr="00534BEA">
        <w:rPr>
          <w:rFonts w:ascii="Arial" w:hAnsi="Arial" w:cs="Arial"/>
        </w:rPr>
        <w:t xml:space="preserve">e manutenção </w:t>
      </w:r>
      <w:r w:rsidR="00090CF5">
        <w:rPr>
          <w:rFonts w:ascii="Arial" w:hAnsi="Arial" w:cs="Arial"/>
        </w:rPr>
        <w:t>dos mesmo</w:t>
      </w:r>
      <w:r w:rsidR="00BE7892">
        <w:rPr>
          <w:rFonts w:ascii="Arial" w:hAnsi="Arial" w:cs="Arial"/>
        </w:rPr>
        <w:t>s</w:t>
      </w:r>
      <w:r w:rsidR="00090CF5">
        <w:rPr>
          <w:rFonts w:ascii="Arial" w:hAnsi="Arial" w:cs="Arial"/>
        </w:rPr>
        <w:t xml:space="preserve">. </w:t>
      </w:r>
    </w:p>
    <w:p w14:paraId="1EB23E3C" w14:textId="1F038C9B" w:rsidR="00090CF5" w:rsidRDefault="001072F2" w:rsidP="00200682">
      <w:pPr>
        <w:widowControl w:val="0"/>
        <w:jc w:val="both"/>
        <w:rPr>
          <w:rFonts w:ascii="Arial" w:hAnsi="Arial" w:cs="Arial"/>
        </w:rPr>
      </w:pPr>
      <w:r w:rsidRPr="005B746C">
        <w:rPr>
          <w:rFonts w:ascii="Arial" w:hAnsi="Arial" w:cs="Arial"/>
        </w:rPr>
        <w:t xml:space="preserve">Segundo </w:t>
      </w:r>
      <w:r w:rsidR="003A48CB" w:rsidRPr="005B746C">
        <w:rPr>
          <w:rFonts w:ascii="Arial" w:hAnsi="Arial" w:cs="Arial"/>
        </w:rPr>
        <w:t xml:space="preserve">o TEP, o pagamento a ser realizado pela </w:t>
      </w:r>
      <w:proofErr w:type="spellStart"/>
      <w:r w:rsidR="003A48CB" w:rsidRPr="005B746C">
        <w:rPr>
          <w:rFonts w:ascii="Arial" w:hAnsi="Arial" w:cs="Arial"/>
        </w:rPr>
        <w:t>Cegás</w:t>
      </w:r>
      <w:proofErr w:type="spellEnd"/>
      <w:r w:rsidR="003A48CB" w:rsidRPr="005B746C">
        <w:rPr>
          <w:rFonts w:ascii="Arial" w:hAnsi="Arial" w:cs="Arial"/>
        </w:rPr>
        <w:t xml:space="preserve"> à Petrobrás</w:t>
      </w:r>
      <w:r w:rsidR="00114EE4" w:rsidRPr="005B746C">
        <w:rPr>
          <w:rFonts w:ascii="Arial" w:hAnsi="Arial" w:cs="Arial"/>
        </w:rPr>
        <w:t>, referente à operação e manutenção</w:t>
      </w:r>
      <w:r w:rsidR="00EA02EF">
        <w:rPr>
          <w:rFonts w:ascii="Arial" w:hAnsi="Arial" w:cs="Arial"/>
        </w:rPr>
        <w:t>,</w:t>
      </w:r>
      <w:r w:rsidR="00936A5D">
        <w:rPr>
          <w:rFonts w:ascii="Arial" w:hAnsi="Arial" w:cs="Arial"/>
        </w:rPr>
        <w:t xml:space="preserve"> deverá </w:t>
      </w:r>
      <w:r w:rsidR="008345DC" w:rsidRPr="005B746C">
        <w:rPr>
          <w:rFonts w:ascii="Arial" w:hAnsi="Arial" w:cs="Arial"/>
        </w:rPr>
        <w:t>se</w:t>
      </w:r>
      <w:r w:rsidR="00936A5D">
        <w:rPr>
          <w:rFonts w:ascii="Arial" w:hAnsi="Arial" w:cs="Arial"/>
        </w:rPr>
        <w:t>r</w:t>
      </w:r>
      <w:r w:rsidR="008345DC" w:rsidRPr="005B746C">
        <w:rPr>
          <w:rFonts w:ascii="Arial" w:hAnsi="Arial" w:cs="Arial"/>
        </w:rPr>
        <w:t xml:space="preserve"> reajustado pelo IGPM</w:t>
      </w:r>
      <w:r w:rsidR="00636DD8">
        <w:rPr>
          <w:rFonts w:ascii="Arial" w:hAnsi="Arial" w:cs="Arial"/>
        </w:rPr>
        <w:t xml:space="preserve">. Assim, dos </w:t>
      </w:r>
      <w:r w:rsidR="00F25E80">
        <w:rPr>
          <w:rFonts w:ascii="Arial" w:hAnsi="Arial" w:cs="Arial"/>
        </w:rPr>
        <w:t xml:space="preserve">R$ </w:t>
      </w:r>
      <w:r w:rsidR="00222AC1">
        <w:rPr>
          <w:rFonts w:ascii="Arial" w:hAnsi="Arial" w:cs="Arial"/>
        </w:rPr>
        <w:t>8</w:t>
      </w:r>
      <w:r w:rsidR="00F6602E">
        <w:rPr>
          <w:rFonts w:ascii="Arial" w:hAnsi="Arial" w:cs="Arial"/>
        </w:rPr>
        <w:t>.564</w:t>
      </w:r>
      <w:r w:rsidR="00F25E80">
        <w:rPr>
          <w:rFonts w:ascii="Arial" w:hAnsi="Arial" w:cs="Arial"/>
        </w:rPr>
        <w:t xml:space="preserve"> registrados na contabilidade</w:t>
      </w:r>
      <w:r w:rsidR="00E82E64">
        <w:rPr>
          <w:rFonts w:ascii="Arial" w:hAnsi="Arial" w:cs="Arial"/>
        </w:rPr>
        <w:t>,</w:t>
      </w:r>
      <w:r w:rsidR="00F25E80">
        <w:rPr>
          <w:rFonts w:ascii="Arial" w:hAnsi="Arial" w:cs="Arial"/>
        </w:rPr>
        <w:t xml:space="preserve"> </w:t>
      </w:r>
      <w:r w:rsidR="009B7582">
        <w:rPr>
          <w:rFonts w:ascii="Arial" w:hAnsi="Arial" w:cs="Arial"/>
        </w:rPr>
        <w:t>R$ 5.</w:t>
      </w:r>
      <w:r w:rsidR="000F612D">
        <w:rPr>
          <w:rFonts w:ascii="Arial" w:hAnsi="Arial" w:cs="Arial"/>
        </w:rPr>
        <w:t>281</w:t>
      </w:r>
      <w:r w:rsidR="009B7582">
        <w:rPr>
          <w:rFonts w:ascii="Arial" w:hAnsi="Arial" w:cs="Arial"/>
        </w:rPr>
        <w:t xml:space="preserve"> refere-se ao valor do principal de manutenção, </w:t>
      </w:r>
      <w:r w:rsidR="00B121B9">
        <w:rPr>
          <w:rFonts w:ascii="Arial" w:hAnsi="Arial" w:cs="Arial"/>
        </w:rPr>
        <w:t xml:space="preserve">R$ </w:t>
      </w:r>
      <w:r w:rsidR="00F25E80">
        <w:rPr>
          <w:rFonts w:ascii="Arial" w:hAnsi="Arial" w:cs="Arial"/>
        </w:rPr>
        <w:t>3.0</w:t>
      </w:r>
      <w:r w:rsidR="0008788B">
        <w:rPr>
          <w:rFonts w:ascii="Arial" w:hAnsi="Arial" w:cs="Arial"/>
        </w:rPr>
        <w:t>4</w:t>
      </w:r>
      <w:r w:rsidR="001000BE">
        <w:rPr>
          <w:rFonts w:ascii="Arial" w:hAnsi="Arial" w:cs="Arial"/>
        </w:rPr>
        <w:t>4</w:t>
      </w:r>
      <w:r w:rsidR="00566D68">
        <w:rPr>
          <w:rFonts w:ascii="Arial" w:hAnsi="Arial" w:cs="Arial"/>
        </w:rPr>
        <w:t xml:space="preserve"> refere-se à atualização monetária,</w:t>
      </w:r>
      <w:r w:rsidR="00172AC4">
        <w:rPr>
          <w:rFonts w:ascii="Arial" w:hAnsi="Arial" w:cs="Arial"/>
        </w:rPr>
        <w:t xml:space="preserve"> </w:t>
      </w:r>
      <w:r w:rsidR="00664978">
        <w:rPr>
          <w:rFonts w:ascii="Arial" w:hAnsi="Arial" w:cs="Arial"/>
        </w:rPr>
        <w:t xml:space="preserve">e R$ </w:t>
      </w:r>
      <w:r w:rsidR="000F612D">
        <w:rPr>
          <w:rFonts w:ascii="Arial" w:hAnsi="Arial" w:cs="Arial"/>
        </w:rPr>
        <w:t>239</w:t>
      </w:r>
      <w:r w:rsidR="00664978">
        <w:rPr>
          <w:rFonts w:ascii="Arial" w:hAnsi="Arial" w:cs="Arial"/>
        </w:rPr>
        <w:t xml:space="preserve"> refere-se </w:t>
      </w:r>
      <w:r w:rsidR="001702FF">
        <w:rPr>
          <w:rFonts w:ascii="Arial" w:hAnsi="Arial" w:cs="Arial"/>
        </w:rPr>
        <w:t>à manutenção da rede de agosto até dezembro</w:t>
      </w:r>
      <w:r w:rsidR="009B7582">
        <w:rPr>
          <w:rFonts w:ascii="Arial" w:hAnsi="Arial" w:cs="Arial"/>
        </w:rPr>
        <w:t xml:space="preserve"> de 2019 que não estava contemplado no TEP</w:t>
      </w:r>
      <w:r w:rsidR="00F25E80">
        <w:rPr>
          <w:rFonts w:ascii="Arial" w:hAnsi="Arial" w:cs="Arial"/>
        </w:rPr>
        <w:t>.</w:t>
      </w:r>
      <w:r w:rsidR="00E82E64">
        <w:rPr>
          <w:rFonts w:ascii="Arial" w:hAnsi="Arial" w:cs="Arial"/>
        </w:rPr>
        <w:t xml:space="preserve"> </w:t>
      </w:r>
      <w:r w:rsidR="00065CE9">
        <w:rPr>
          <w:rFonts w:ascii="Arial" w:hAnsi="Arial" w:cs="Arial"/>
        </w:rPr>
        <w:t xml:space="preserve">O </w:t>
      </w:r>
      <w:r w:rsidR="00CB5C12" w:rsidRPr="005B746C">
        <w:rPr>
          <w:rFonts w:ascii="Arial" w:hAnsi="Arial" w:cs="Arial"/>
        </w:rPr>
        <w:t>pagamento</w:t>
      </w:r>
      <w:r w:rsidR="00065CE9">
        <w:rPr>
          <w:rFonts w:ascii="Arial" w:hAnsi="Arial" w:cs="Arial"/>
        </w:rPr>
        <w:t xml:space="preserve"> do valor acordado no TEP</w:t>
      </w:r>
      <w:r w:rsidR="00CB5C12" w:rsidRPr="005B746C">
        <w:rPr>
          <w:rFonts w:ascii="Arial" w:hAnsi="Arial" w:cs="Arial"/>
        </w:rPr>
        <w:t xml:space="preserve"> </w:t>
      </w:r>
      <w:r w:rsidR="0003242C">
        <w:rPr>
          <w:rFonts w:ascii="Arial" w:hAnsi="Arial" w:cs="Arial"/>
        </w:rPr>
        <w:t xml:space="preserve">ocorreu </w:t>
      </w:r>
      <w:r w:rsidR="00CB5C12" w:rsidRPr="005B746C">
        <w:rPr>
          <w:rFonts w:ascii="Arial" w:hAnsi="Arial" w:cs="Arial"/>
        </w:rPr>
        <w:t xml:space="preserve">em </w:t>
      </w:r>
      <w:r w:rsidR="00CB536D" w:rsidRPr="005B746C">
        <w:rPr>
          <w:rFonts w:ascii="Arial" w:hAnsi="Arial" w:cs="Arial"/>
        </w:rPr>
        <w:t xml:space="preserve">uma única parcela </w:t>
      </w:r>
      <w:r w:rsidR="00AA207C" w:rsidRPr="005B746C">
        <w:rPr>
          <w:rFonts w:ascii="Arial" w:hAnsi="Arial" w:cs="Arial"/>
        </w:rPr>
        <w:t>em janeiro de 2020</w:t>
      </w:r>
      <w:r w:rsidR="00C91C53">
        <w:rPr>
          <w:rFonts w:ascii="Arial" w:hAnsi="Arial" w:cs="Arial"/>
        </w:rPr>
        <w:t>, montante de R$ 8.32</w:t>
      </w:r>
      <w:r w:rsidR="000F612D">
        <w:rPr>
          <w:rFonts w:ascii="Arial" w:hAnsi="Arial" w:cs="Arial"/>
        </w:rPr>
        <w:t>5</w:t>
      </w:r>
      <w:r w:rsidR="00C91C53">
        <w:rPr>
          <w:rFonts w:ascii="Arial" w:hAnsi="Arial" w:cs="Arial"/>
        </w:rPr>
        <w:t>.</w:t>
      </w:r>
      <w:r w:rsidR="005331EF" w:rsidRPr="005B746C">
        <w:rPr>
          <w:rFonts w:ascii="Arial" w:hAnsi="Arial" w:cs="Arial"/>
        </w:rPr>
        <w:t xml:space="preserve"> </w:t>
      </w:r>
    </w:p>
    <w:p w14:paraId="73D5ABD5" w14:textId="36A42A09" w:rsidR="009675CB" w:rsidRDefault="00532F52" w:rsidP="00200682">
      <w:pPr>
        <w:widowControl w:val="0"/>
        <w:jc w:val="both"/>
        <w:rPr>
          <w:rFonts w:ascii="Arial" w:hAnsi="Arial" w:cs="Arial"/>
        </w:rPr>
      </w:pPr>
      <w:r>
        <w:rPr>
          <w:rFonts w:ascii="Arial" w:hAnsi="Arial" w:cs="Arial"/>
        </w:rPr>
        <w:t>Em 20 de dezembro de 2019,</w:t>
      </w:r>
      <w:r w:rsidR="00BD3036">
        <w:rPr>
          <w:rFonts w:ascii="Arial" w:hAnsi="Arial" w:cs="Arial"/>
        </w:rPr>
        <w:t xml:space="preserve"> </w:t>
      </w:r>
      <w:r>
        <w:rPr>
          <w:rFonts w:ascii="Arial" w:hAnsi="Arial" w:cs="Arial"/>
        </w:rPr>
        <w:t>a C</w:t>
      </w:r>
      <w:r w:rsidR="006C21D9">
        <w:rPr>
          <w:rFonts w:ascii="Arial" w:hAnsi="Arial" w:cs="Arial"/>
        </w:rPr>
        <w:t>ompanhia</w:t>
      </w:r>
      <w:r>
        <w:rPr>
          <w:rFonts w:ascii="Arial" w:hAnsi="Arial" w:cs="Arial"/>
        </w:rPr>
        <w:t xml:space="preserve"> assinou o Contrato de Compra e Venda de Gás Natural com a Petróleo </w:t>
      </w:r>
      <w:r w:rsidR="00013646">
        <w:rPr>
          <w:rFonts w:ascii="Arial" w:hAnsi="Arial" w:cs="Arial"/>
        </w:rPr>
        <w:t>Brasileiro S.A – Petrobrás, com vigência de 1 de janeiro de 2020 a 31 de dezembro de 2021</w:t>
      </w:r>
      <w:r w:rsidR="00E67F66">
        <w:rPr>
          <w:rFonts w:ascii="Arial" w:hAnsi="Arial" w:cs="Arial"/>
        </w:rPr>
        <w:t>, assumindo o compromisso de compra mínima de gás</w:t>
      </w:r>
      <w:r w:rsidR="00F67FB3">
        <w:rPr>
          <w:rFonts w:ascii="Arial" w:hAnsi="Arial" w:cs="Arial"/>
        </w:rPr>
        <w:t xml:space="preserve"> de 520.000 m</w:t>
      </w:r>
      <w:r w:rsidR="00F67FB3" w:rsidRPr="008C71D1">
        <w:rPr>
          <w:rFonts w:ascii="Arial" w:hAnsi="Arial" w:cs="Arial"/>
          <w:vertAlign w:val="superscript"/>
        </w:rPr>
        <w:t>3</w:t>
      </w:r>
      <w:r w:rsidR="00F67FB3">
        <w:rPr>
          <w:rFonts w:ascii="Arial" w:hAnsi="Arial" w:cs="Arial"/>
        </w:rPr>
        <w:t xml:space="preserve">/dia, </w:t>
      </w:r>
      <w:r w:rsidR="00245D48">
        <w:rPr>
          <w:rFonts w:ascii="Arial" w:hAnsi="Arial" w:cs="Arial"/>
        </w:rPr>
        <w:t>com valor estimado d</w:t>
      </w:r>
      <w:r w:rsidR="006C21D9">
        <w:rPr>
          <w:rFonts w:ascii="Arial" w:hAnsi="Arial" w:cs="Arial"/>
        </w:rPr>
        <w:t>o</w:t>
      </w:r>
      <w:r w:rsidR="00245D48">
        <w:rPr>
          <w:rFonts w:ascii="Arial" w:hAnsi="Arial" w:cs="Arial"/>
        </w:rPr>
        <w:t xml:space="preserve"> contrato de R$ 499.251.343,00. </w:t>
      </w:r>
    </w:p>
    <w:p w14:paraId="497D139A" w14:textId="00347141" w:rsidR="00200682" w:rsidRPr="003234C5" w:rsidRDefault="00200682" w:rsidP="00200682">
      <w:pPr>
        <w:widowControl w:val="0"/>
        <w:jc w:val="both"/>
        <w:rPr>
          <w:rFonts w:ascii="Arial" w:hAnsi="Arial" w:cs="Arial"/>
          <w:b/>
        </w:rPr>
      </w:pPr>
      <w:r w:rsidRPr="003234C5">
        <w:rPr>
          <w:rFonts w:ascii="Arial" w:hAnsi="Arial" w:cs="Arial"/>
          <w:b/>
        </w:rPr>
        <w:t xml:space="preserve">NOTA </w:t>
      </w:r>
      <w:r w:rsidR="00B75CA4">
        <w:rPr>
          <w:rFonts w:ascii="Arial" w:hAnsi="Arial" w:cs="Arial"/>
          <w:b/>
        </w:rPr>
        <w:t>20</w:t>
      </w:r>
      <w:r w:rsidRPr="003234C5">
        <w:rPr>
          <w:rFonts w:ascii="Arial" w:hAnsi="Arial" w:cs="Arial"/>
          <w:b/>
        </w:rPr>
        <w:t xml:space="preserve">. EMPRÉSTIMOS E FINANCIAMENTOS </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1554"/>
        <w:gridCol w:w="1281"/>
        <w:gridCol w:w="1271"/>
        <w:gridCol w:w="1280"/>
        <w:gridCol w:w="1276"/>
      </w:tblGrid>
      <w:tr w:rsidR="00200682" w:rsidRPr="003234C5" w14:paraId="27E9BD6A" w14:textId="77777777" w:rsidTr="00EA5333">
        <w:trPr>
          <w:trHeight w:val="227"/>
          <w:jc w:val="center"/>
        </w:trPr>
        <w:tc>
          <w:tcPr>
            <w:tcW w:w="2557" w:type="dxa"/>
            <w:vMerge w:val="restart"/>
            <w:shd w:val="clear" w:color="auto" w:fill="C0C0C0"/>
            <w:vAlign w:val="center"/>
          </w:tcPr>
          <w:p w14:paraId="5E65D994" w14:textId="77777777" w:rsidR="00200682" w:rsidRPr="003234C5" w:rsidRDefault="00200682" w:rsidP="00E8434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w:t>
            </w:r>
          </w:p>
        </w:tc>
        <w:tc>
          <w:tcPr>
            <w:tcW w:w="1554" w:type="dxa"/>
            <w:vMerge w:val="restart"/>
            <w:shd w:val="clear" w:color="auto" w:fill="C0C0C0"/>
            <w:vAlign w:val="center"/>
          </w:tcPr>
          <w:p w14:paraId="0458EC6B" w14:textId="77777777" w:rsidR="00200682" w:rsidRPr="003234C5" w:rsidRDefault="00200682" w:rsidP="00E8434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VENCIMENTO</w:t>
            </w:r>
          </w:p>
        </w:tc>
        <w:tc>
          <w:tcPr>
            <w:tcW w:w="2552" w:type="dxa"/>
            <w:gridSpan w:val="2"/>
            <w:shd w:val="clear" w:color="auto" w:fill="C0C0C0"/>
            <w:vAlign w:val="center"/>
          </w:tcPr>
          <w:p w14:paraId="62727CB1" w14:textId="77777777" w:rsidR="00200682" w:rsidRPr="003234C5" w:rsidRDefault="00200682" w:rsidP="00E84342">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CIRCULANTE</w:t>
            </w:r>
          </w:p>
        </w:tc>
        <w:tc>
          <w:tcPr>
            <w:tcW w:w="2556" w:type="dxa"/>
            <w:gridSpan w:val="2"/>
            <w:shd w:val="clear" w:color="auto" w:fill="C0C0C0"/>
            <w:vAlign w:val="center"/>
          </w:tcPr>
          <w:p w14:paraId="5D267880" w14:textId="77777777" w:rsidR="00200682" w:rsidRPr="003234C5" w:rsidRDefault="00200682" w:rsidP="00E84342">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NÃO CIRCULANTE</w:t>
            </w:r>
          </w:p>
        </w:tc>
      </w:tr>
      <w:tr w:rsidR="00FF75EA" w:rsidRPr="003234C5" w14:paraId="16D743B6" w14:textId="77777777" w:rsidTr="00492DEB">
        <w:trPr>
          <w:trHeight w:val="227"/>
          <w:jc w:val="center"/>
        </w:trPr>
        <w:tc>
          <w:tcPr>
            <w:tcW w:w="2557" w:type="dxa"/>
            <w:vMerge/>
            <w:shd w:val="clear" w:color="auto" w:fill="C0C0C0"/>
            <w:vAlign w:val="center"/>
          </w:tcPr>
          <w:p w14:paraId="4D144919" w14:textId="77777777" w:rsidR="00FF75EA" w:rsidRPr="003234C5" w:rsidRDefault="00FF75EA" w:rsidP="00FF75EA">
            <w:pPr>
              <w:autoSpaceDE w:val="0"/>
              <w:autoSpaceDN w:val="0"/>
              <w:adjustRightInd w:val="0"/>
              <w:spacing w:after="0"/>
              <w:jc w:val="both"/>
              <w:rPr>
                <w:rFonts w:ascii="Arial" w:hAnsi="Arial" w:cs="Arial"/>
                <w:b/>
                <w:sz w:val="20"/>
                <w:szCs w:val="20"/>
              </w:rPr>
            </w:pPr>
          </w:p>
        </w:tc>
        <w:tc>
          <w:tcPr>
            <w:tcW w:w="1554" w:type="dxa"/>
            <w:vMerge/>
            <w:shd w:val="clear" w:color="auto" w:fill="C0C0C0"/>
            <w:vAlign w:val="center"/>
          </w:tcPr>
          <w:p w14:paraId="1E4529C3" w14:textId="77777777" w:rsidR="00FF75EA" w:rsidRPr="003234C5" w:rsidRDefault="00FF75EA" w:rsidP="00FF75EA">
            <w:pPr>
              <w:autoSpaceDE w:val="0"/>
              <w:autoSpaceDN w:val="0"/>
              <w:adjustRightInd w:val="0"/>
              <w:spacing w:after="0"/>
              <w:jc w:val="both"/>
              <w:rPr>
                <w:rFonts w:ascii="Arial" w:hAnsi="Arial" w:cs="Arial"/>
                <w:b/>
                <w:sz w:val="20"/>
                <w:szCs w:val="20"/>
              </w:rPr>
            </w:pPr>
          </w:p>
        </w:tc>
        <w:tc>
          <w:tcPr>
            <w:tcW w:w="1281" w:type="dxa"/>
            <w:shd w:val="clear" w:color="auto" w:fill="C0C0C0"/>
            <w:vAlign w:val="bottom"/>
          </w:tcPr>
          <w:p w14:paraId="5E5FE3F9" w14:textId="3CE2D282" w:rsidR="00FF75EA" w:rsidRPr="003234C5" w:rsidRDefault="00C6257E"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271" w:type="dxa"/>
            <w:shd w:val="clear" w:color="auto" w:fill="C0C0C0"/>
            <w:vAlign w:val="bottom"/>
          </w:tcPr>
          <w:p w14:paraId="1FB9A1E6" w14:textId="72EAE1F4" w:rsidR="00FF75EA" w:rsidRPr="003234C5" w:rsidRDefault="00C6257E"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c>
          <w:tcPr>
            <w:tcW w:w="1280" w:type="dxa"/>
            <w:shd w:val="clear" w:color="auto" w:fill="C0C0C0"/>
            <w:vAlign w:val="bottom"/>
          </w:tcPr>
          <w:p w14:paraId="2F84B13F" w14:textId="30D58025" w:rsidR="00FF75EA" w:rsidRPr="003234C5" w:rsidRDefault="00C6257E"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276" w:type="dxa"/>
            <w:shd w:val="clear" w:color="auto" w:fill="C0C0C0"/>
            <w:vAlign w:val="bottom"/>
          </w:tcPr>
          <w:p w14:paraId="10909CAD" w14:textId="5667280C" w:rsidR="00FF75EA" w:rsidRPr="003234C5" w:rsidRDefault="00C6257E"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335882" w:rsidRPr="003234C5" w14:paraId="669C5F0E" w14:textId="77777777" w:rsidTr="002F280D">
        <w:trPr>
          <w:trHeight w:val="227"/>
          <w:jc w:val="center"/>
        </w:trPr>
        <w:tc>
          <w:tcPr>
            <w:tcW w:w="2557" w:type="dxa"/>
            <w:shd w:val="clear" w:color="auto" w:fill="FFFFFF"/>
            <w:vAlign w:val="bottom"/>
          </w:tcPr>
          <w:p w14:paraId="5B4D4CB2" w14:textId="77777777" w:rsidR="00335882" w:rsidRPr="003234C5" w:rsidRDefault="00335882" w:rsidP="00335882">
            <w:pPr>
              <w:spacing w:after="0"/>
              <w:jc w:val="both"/>
              <w:rPr>
                <w:rFonts w:ascii="Arial" w:hAnsi="Arial" w:cs="Arial"/>
                <w:bCs/>
                <w:sz w:val="20"/>
                <w:szCs w:val="20"/>
              </w:rPr>
            </w:pPr>
            <w:r w:rsidRPr="003234C5">
              <w:rPr>
                <w:rFonts w:ascii="Arial" w:hAnsi="Arial" w:cs="Arial"/>
                <w:bCs/>
                <w:sz w:val="20"/>
                <w:szCs w:val="20"/>
              </w:rPr>
              <w:t>Contrato Expansão Rede</w:t>
            </w:r>
          </w:p>
        </w:tc>
        <w:tc>
          <w:tcPr>
            <w:tcW w:w="1554" w:type="dxa"/>
            <w:shd w:val="clear" w:color="auto" w:fill="FFFFFF"/>
            <w:vAlign w:val="bottom"/>
          </w:tcPr>
          <w:p w14:paraId="3F842F9E" w14:textId="77777777" w:rsidR="00335882" w:rsidRPr="003234C5" w:rsidRDefault="00335882" w:rsidP="00335882">
            <w:pPr>
              <w:spacing w:after="0"/>
              <w:jc w:val="center"/>
              <w:rPr>
                <w:rFonts w:ascii="Arial" w:hAnsi="Arial" w:cs="Arial"/>
                <w:bCs/>
                <w:sz w:val="20"/>
                <w:szCs w:val="20"/>
              </w:rPr>
            </w:pPr>
            <w:r w:rsidRPr="003234C5">
              <w:rPr>
                <w:rFonts w:ascii="Arial" w:hAnsi="Arial" w:cs="Arial"/>
                <w:bCs/>
                <w:sz w:val="20"/>
                <w:szCs w:val="20"/>
              </w:rPr>
              <w:t>2024</w:t>
            </w:r>
          </w:p>
        </w:tc>
        <w:tc>
          <w:tcPr>
            <w:tcW w:w="1281" w:type="dxa"/>
            <w:shd w:val="clear" w:color="auto" w:fill="FFFFFF"/>
            <w:vAlign w:val="center"/>
          </w:tcPr>
          <w:p w14:paraId="4D2389E7" w14:textId="184FA797" w:rsidR="00335882" w:rsidRPr="003234C5" w:rsidRDefault="00E70824" w:rsidP="00335882">
            <w:pPr>
              <w:spacing w:after="0"/>
              <w:jc w:val="right"/>
              <w:rPr>
                <w:rFonts w:ascii="Arial" w:hAnsi="Arial" w:cs="Arial"/>
                <w:color w:val="FF0000"/>
                <w:sz w:val="20"/>
                <w:szCs w:val="20"/>
              </w:rPr>
            </w:pPr>
            <w:r w:rsidRPr="000A0E0D">
              <w:rPr>
                <w:rFonts w:ascii="Arial" w:hAnsi="Arial" w:cs="Arial"/>
                <w:color w:val="000000" w:themeColor="text1"/>
                <w:sz w:val="20"/>
                <w:szCs w:val="20"/>
              </w:rPr>
              <w:t>7.375</w:t>
            </w:r>
          </w:p>
        </w:tc>
        <w:tc>
          <w:tcPr>
            <w:tcW w:w="1271" w:type="dxa"/>
            <w:shd w:val="clear" w:color="auto" w:fill="FFFFFF"/>
            <w:vAlign w:val="center"/>
          </w:tcPr>
          <w:p w14:paraId="676E4406" w14:textId="5B61D427"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7.393</w:t>
            </w:r>
          </w:p>
        </w:tc>
        <w:tc>
          <w:tcPr>
            <w:tcW w:w="1280" w:type="dxa"/>
            <w:shd w:val="clear" w:color="auto" w:fill="FFFFFF"/>
            <w:vAlign w:val="center"/>
          </w:tcPr>
          <w:p w14:paraId="0C34839B" w14:textId="55A1DFB0" w:rsidR="00335882" w:rsidRPr="003234C5" w:rsidRDefault="00EF21B0" w:rsidP="00335882">
            <w:pPr>
              <w:spacing w:after="0"/>
              <w:jc w:val="right"/>
              <w:rPr>
                <w:rFonts w:ascii="Arial" w:hAnsi="Arial" w:cs="Arial"/>
                <w:sz w:val="20"/>
                <w:szCs w:val="20"/>
              </w:rPr>
            </w:pPr>
            <w:r>
              <w:rPr>
                <w:rFonts w:ascii="Arial" w:hAnsi="Arial" w:cs="Arial"/>
                <w:sz w:val="20"/>
                <w:szCs w:val="20"/>
              </w:rPr>
              <w:t>26.737</w:t>
            </w:r>
          </w:p>
        </w:tc>
        <w:tc>
          <w:tcPr>
            <w:tcW w:w="1276" w:type="dxa"/>
            <w:shd w:val="clear" w:color="auto" w:fill="FFFFFF"/>
            <w:vAlign w:val="center"/>
          </w:tcPr>
          <w:p w14:paraId="55A99A96" w14:textId="2EEEC8A0"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34.029</w:t>
            </w:r>
          </w:p>
        </w:tc>
      </w:tr>
      <w:tr w:rsidR="00335882" w:rsidRPr="003234C5" w14:paraId="082B1602" w14:textId="77777777" w:rsidTr="002F280D">
        <w:trPr>
          <w:trHeight w:val="227"/>
          <w:jc w:val="center"/>
        </w:trPr>
        <w:tc>
          <w:tcPr>
            <w:tcW w:w="2557" w:type="dxa"/>
            <w:shd w:val="clear" w:color="auto" w:fill="FFFFFF"/>
            <w:vAlign w:val="bottom"/>
          </w:tcPr>
          <w:p w14:paraId="17F791E0" w14:textId="77777777" w:rsidR="00335882" w:rsidRPr="003234C5" w:rsidRDefault="00335882" w:rsidP="00335882">
            <w:pPr>
              <w:spacing w:after="0"/>
              <w:jc w:val="both"/>
              <w:rPr>
                <w:rFonts w:ascii="Arial" w:hAnsi="Arial" w:cs="Arial"/>
                <w:bCs/>
                <w:sz w:val="20"/>
                <w:szCs w:val="20"/>
              </w:rPr>
            </w:pPr>
            <w:r w:rsidRPr="003234C5">
              <w:rPr>
                <w:rFonts w:ascii="Arial" w:hAnsi="Arial" w:cs="Arial"/>
                <w:bCs/>
                <w:sz w:val="20"/>
                <w:szCs w:val="20"/>
              </w:rPr>
              <w:t>Contrato Rede Térmica</w:t>
            </w:r>
          </w:p>
        </w:tc>
        <w:tc>
          <w:tcPr>
            <w:tcW w:w="1554" w:type="dxa"/>
            <w:shd w:val="clear" w:color="auto" w:fill="FFFFFF"/>
            <w:vAlign w:val="bottom"/>
          </w:tcPr>
          <w:p w14:paraId="0FA40689" w14:textId="77777777" w:rsidR="00335882" w:rsidRPr="003234C5" w:rsidRDefault="00335882" w:rsidP="00335882">
            <w:pPr>
              <w:spacing w:after="0"/>
              <w:jc w:val="center"/>
              <w:rPr>
                <w:rFonts w:ascii="Arial" w:hAnsi="Arial" w:cs="Arial"/>
                <w:bCs/>
                <w:sz w:val="20"/>
                <w:szCs w:val="20"/>
              </w:rPr>
            </w:pPr>
            <w:r w:rsidRPr="003234C5">
              <w:rPr>
                <w:rFonts w:ascii="Arial" w:hAnsi="Arial" w:cs="Arial"/>
                <w:bCs/>
                <w:sz w:val="20"/>
                <w:szCs w:val="20"/>
              </w:rPr>
              <w:t>2015</w:t>
            </w:r>
          </w:p>
        </w:tc>
        <w:tc>
          <w:tcPr>
            <w:tcW w:w="1281" w:type="dxa"/>
            <w:shd w:val="clear" w:color="auto" w:fill="FFFFFF"/>
            <w:vAlign w:val="center"/>
          </w:tcPr>
          <w:p w14:paraId="229B662D" w14:textId="1AE13C47" w:rsidR="00335882" w:rsidRPr="003234C5" w:rsidRDefault="00EF21B0" w:rsidP="00335882">
            <w:pPr>
              <w:spacing w:after="0"/>
              <w:jc w:val="right"/>
              <w:rPr>
                <w:rFonts w:ascii="Arial" w:hAnsi="Arial" w:cs="Arial"/>
                <w:sz w:val="20"/>
                <w:szCs w:val="20"/>
              </w:rPr>
            </w:pPr>
            <w:r>
              <w:rPr>
                <w:rFonts w:ascii="Arial" w:hAnsi="Arial" w:cs="Arial"/>
                <w:sz w:val="20"/>
                <w:szCs w:val="20"/>
              </w:rPr>
              <w:t>0</w:t>
            </w:r>
          </w:p>
        </w:tc>
        <w:tc>
          <w:tcPr>
            <w:tcW w:w="1271" w:type="dxa"/>
            <w:shd w:val="clear" w:color="auto" w:fill="FFFFFF"/>
            <w:vAlign w:val="center"/>
          </w:tcPr>
          <w:p w14:paraId="3EAB8CDC" w14:textId="6A7F58F4"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12.134</w:t>
            </w:r>
          </w:p>
        </w:tc>
        <w:tc>
          <w:tcPr>
            <w:tcW w:w="1280" w:type="dxa"/>
            <w:shd w:val="clear" w:color="auto" w:fill="FFFFFF"/>
            <w:vAlign w:val="center"/>
          </w:tcPr>
          <w:p w14:paraId="5647BCD2" w14:textId="1353F52A" w:rsidR="00335882" w:rsidRPr="003234C5" w:rsidRDefault="00EF21B0" w:rsidP="00335882">
            <w:pPr>
              <w:spacing w:after="0"/>
              <w:jc w:val="right"/>
              <w:rPr>
                <w:rFonts w:ascii="Arial" w:hAnsi="Arial" w:cs="Arial"/>
                <w:sz w:val="20"/>
                <w:szCs w:val="20"/>
              </w:rPr>
            </w:pPr>
            <w:r>
              <w:rPr>
                <w:rFonts w:ascii="Arial" w:hAnsi="Arial" w:cs="Arial"/>
                <w:sz w:val="20"/>
                <w:szCs w:val="20"/>
              </w:rPr>
              <w:t>12.134</w:t>
            </w:r>
          </w:p>
        </w:tc>
        <w:tc>
          <w:tcPr>
            <w:tcW w:w="1276" w:type="dxa"/>
            <w:shd w:val="clear" w:color="auto" w:fill="FFFFFF"/>
            <w:vAlign w:val="center"/>
          </w:tcPr>
          <w:p w14:paraId="1923A985" w14:textId="287D1FBE" w:rsidR="00335882" w:rsidRPr="003234C5" w:rsidRDefault="00335882" w:rsidP="00335882">
            <w:pPr>
              <w:spacing w:after="0"/>
              <w:jc w:val="right"/>
              <w:rPr>
                <w:rFonts w:ascii="Arial" w:hAnsi="Arial" w:cs="Arial"/>
                <w:sz w:val="20"/>
                <w:szCs w:val="20"/>
              </w:rPr>
            </w:pPr>
            <w:r w:rsidRPr="003234C5">
              <w:rPr>
                <w:rFonts w:ascii="Arial" w:hAnsi="Arial" w:cs="Arial"/>
                <w:color w:val="000000"/>
                <w:sz w:val="20"/>
                <w:szCs w:val="20"/>
              </w:rPr>
              <w:t>-</w:t>
            </w:r>
          </w:p>
        </w:tc>
      </w:tr>
      <w:tr w:rsidR="00335882" w:rsidRPr="003234C5" w14:paraId="32C6B41F" w14:textId="77777777" w:rsidTr="00FF75EA">
        <w:trPr>
          <w:trHeight w:val="227"/>
          <w:jc w:val="center"/>
        </w:trPr>
        <w:tc>
          <w:tcPr>
            <w:tcW w:w="2557" w:type="dxa"/>
            <w:shd w:val="clear" w:color="auto" w:fill="auto"/>
            <w:vAlign w:val="center"/>
          </w:tcPr>
          <w:p w14:paraId="290AEA6B" w14:textId="582BEEBB" w:rsidR="00335882" w:rsidRPr="003234C5" w:rsidRDefault="00335882" w:rsidP="00335882">
            <w:pPr>
              <w:autoSpaceDE w:val="0"/>
              <w:autoSpaceDN w:val="0"/>
              <w:adjustRightInd w:val="0"/>
              <w:spacing w:after="0"/>
              <w:jc w:val="both"/>
              <w:rPr>
                <w:rFonts w:ascii="Arial" w:hAnsi="Arial" w:cs="Arial"/>
                <w:sz w:val="20"/>
                <w:szCs w:val="20"/>
              </w:rPr>
            </w:pPr>
            <w:r w:rsidRPr="003234C5">
              <w:rPr>
                <w:rFonts w:ascii="Arial" w:hAnsi="Arial" w:cs="Arial"/>
                <w:sz w:val="20"/>
                <w:szCs w:val="20"/>
              </w:rPr>
              <w:t>Arrendamento – IFRS 16</w:t>
            </w:r>
          </w:p>
        </w:tc>
        <w:tc>
          <w:tcPr>
            <w:tcW w:w="1554" w:type="dxa"/>
            <w:shd w:val="clear" w:color="auto" w:fill="auto"/>
            <w:vAlign w:val="bottom"/>
          </w:tcPr>
          <w:p w14:paraId="22CFD833" w14:textId="075FE22F" w:rsidR="00335882" w:rsidRPr="003234C5" w:rsidRDefault="00335882" w:rsidP="00335882">
            <w:pPr>
              <w:autoSpaceDE w:val="0"/>
              <w:autoSpaceDN w:val="0"/>
              <w:adjustRightInd w:val="0"/>
              <w:spacing w:after="0"/>
              <w:jc w:val="center"/>
              <w:rPr>
                <w:rFonts w:ascii="Arial" w:hAnsi="Arial" w:cs="Arial"/>
                <w:sz w:val="20"/>
                <w:szCs w:val="20"/>
              </w:rPr>
            </w:pPr>
            <w:r w:rsidRPr="003234C5">
              <w:rPr>
                <w:rFonts w:ascii="Arial" w:hAnsi="Arial" w:cs="Arial"/>
                <w:sz w:val="20"/>
                <w:szCs w:val="20"/>
              </w:rPr>
              <w:t>2027</w:t>
            </w:r>
          </w:p>
        </w:tc>
        <w:tc>
          <w:tcPr>
            <w:tcW w:w="1281" w:type="dxa"/>
            <w:shd w:val="clear" w:color="auto" w:fill="auto"/>
            <w:vAlign w:val="center"/>
          </w:tcPr>
          <w:p w14:paraId="1AA5E164" w14:textId="54567318" w:rsidR="00335882" w:rsidRPr="003234C5" w:rsidRDefault="00EF21B0" w:rsidP="00335882">
            <w:pPr>
              <w:autoSpaceDE w:val="0"/>
              <w:autoSpaceDN w:val="0"/>
              <w:adjustRightInd w:val="0"/>
              <w:spacing w:after="0"/>
              <w:jc w:val="right"/>
              <w:rPr>
                <w:rFonts w:ascii="Arial" w:hAnsi="Arial" w:cs="Arial"/>
                <w:bCs/>
                <w:color w:val="000000"/>
                <w:sz w:val="20"/>
                <w:szCs w:val="20"/>
              </w:rPr>
            </w:pPr>
            <w:r>
              <w:rPr>
                <w:rFonts w:ascii="Arial" w:hAnsi="Arial" w:cs="Arial"/>
                <w:bCs/>
                <w:color w:val="000000"/>
                <w:sz w:val="20"/>
                <w:szCs w:val="20"/>
              </w:rPr>
              <w:t>1.469</w:t>
            </w:r>
          </w:p>
        </w:tc>
        <w:tc>
          <w:tcPr>
            <w:tcW w:w="1271" w:type="dxa"/>
            <w:shd w:val="clear" w:color="auto" w:fill="auto"/>
            <w:vAlign w:val="center"/>
          </w:tcPr>
          <w:p w14:paraId="68C46A08" w14:textId="642CEB99" w:rsidR="00335882" w:rsidRPr="003234C5" w:rsidRDefault="00335882" w:rsidP="00335882">
            <w:pPr>
              <w:autoSpaceDE w:val="0"/>
              <w:autoSpaceDN w:val="0"/>
              <w:adjustRightInd w:val="0"/>
              <w:spacing w:after="0"/>
              <w:jc w:val="right"/>
              <w:rPr>
                <w:rFonts w:ascii="Arial" w:hAnsi="Arial" w:cs="Arial"/>
                <w:bCs/>
                <w:color w:val="000000"/>
                <w:sz w:val="20"/>
                <w:szCs w:val="20"/>
              </w:rPr>
            </w:pPr>
            <w:r w:rsidRPr="003234C5">
              <w:rPr>
                <w:rFonts w:ascii="Arial" w:hAnsi="Arial" w:cs="Arial"/>
                <w:color w:val="000000"/>
                <w:sz w:val="20"/>
                <w:szCs w:val="20"/>
              </w:rPr>
              <w:t>-</w:t>
            </w:r>
          </w:p>
        </w:tc>
        <w:tc>
          <w:tcPr>
            <w:tcW w:w="1280" w:type="dxa"/>
            <w:shd w:val="clear" w:color="auto" w:fill="auto"/>
            <w:vAlign w:val="center"/>
          </w:tcPr>
          <w:p w14:paraId="5224914B" w14:textId="6771BC73" w:rsidR="00335882" w:rsidRPr="003234C5" w:rsidRDefault="00EF21B0" w:rsidP="00335882">
            <w:pPr>
              <w:spacing w:after="0"/>
              <w:jc w:val="right"/>
              <w:rPr>
                <w:rFonts w:ascii="Arial" w:hAnsi="Arial" w:cs="Arial"/>
                <w:bCs/>
                <w:color w:val="000000"/>
                <w:sz w:val="20"/>
                <w:szCs w:val="20"/>
              </w:rPr>
            </w:pPr>
            <w:r>
              <w:rPr>
                <w:rFonts w:ascii="Arial" w:hAnsi="Arial" w:cs="Arial"/>
                <w:bCs/>
                <w:color w:val="000000"/>
                <w:sz w:val="20"/>
                <w:szCs w:val="20"/>
              </w:rPr>
              <w:t>12.147</w:t>
            </w:r>
          </w:p>
        </w:tc>
        <w:tc>
          <w:tcPr>
            <w:tcW w:w="1276" w:type="dxa"/>
            <w:shd w:val="clear" w:color="auto" w:fill="auto"/>
            <w:vAlign w:val="center"/>
          </w:tcPr>
          <w:p w14:paraId="5FE6C2A9" w14:textId="14AE30D6" w:rsidR="00335882" w:rsidRPr="003234C5" w:rsidRDefault="00335882" w:rsidP="00335882">
            <w:pPr>
              <w:spacing w:after="0"/>
              <w:jc w:val="right"/>
              <w:rPr>
                <w:rFonts w:ascii="Arial" w:hAnsi="Arial" w:cs="Arial"/>
                <w:bCs/>
                <w:color w:val="000000"/>
                <w:sz w:val="20"/>
                <w:szCs w:val="20"/>
              </w:rPr>
            </w:pPr>
            <w:r w:rsidRPr="003234C5">
              <w:rPr>
                <w:rFonts w:ascii="Arial" w:hAnsi="Arial" w:cs="Arial"/>
                <w:color w:val="000000"/>
                <w:sz w:val="20"/>
                <w:szCs w:val="20"/>
              </w:rPr>
              <w:t>-</w:t>
            </w:r>
          </w:p>
        </w:tc>
      </w:tr>
      <w:tr w:rsidR="00335882" w:rsidRPr="003234C5" w14:paraId="3DCAD0A7" w14:textId="77777777" w:rsidTr="002F280D">
        <w:trPr>
          <w:trHeight w:val="227"/>
          <w:jc w:val="center"/>
        </w:trPr>
        <w:tc>
          <w:tcPr>
            <w:tcW w:w="2557" w:type="dxa"/>
            <w:shd w:val="clear" w:color="auto" w:fill="C0C0C0"/>
            <w:vAlign w:val="center"/>
          </w:tcPr>
          <w:p w14:paraId="77F7F129" w14:textId="77777777" w:rsidR="00335882" w:rsidRPr="003234C5" w:rsidRDefault="00335882" w:rsidP="0033588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w:t>
            </w:r>
          </w:p>
        </w:tc>
        <w:tc>
          <w:tcPr>
            <w:tcW w:w="1554" w:type="dxa"/>
            <w:shd w:val="clear" w:color="auto" w:fill="C0C0C0"/>
            <w:vAlign w:val="bottom"/>
          </w:tcPr>
          <w:p w14:paraId="7DEBB910" w14:textId="77777777" w:rsidR="00335882" w:rsidRPr="003234C5" w:rsidRDefault="00335882" w:rsidP="00335882">
            <w:pPr>
              <w:autoSpaceDE w:val="0"/>
              <w:autoSpaceDN w:val="0"/>
              <w:adjustRightInd w:val="0"/>
              <w:spacing w:after="0"/>
              <w:jc w:val="both"/>
              <w:rPr>
                <w:rFonts w:ascii="Arial" w:hAnsi="Arial" w:cs="Arial"/>
                <w:b/>
                <w:sz w:val="20"/>
                <w:szCs w:val="20"/>
              </w:rPr>
            </w:pPr>
          </w:p>
        </w:tc>
        <w:tc>
          <w:tcPr>
            <w:tcW w:w="1281" w:type="dxa"/>
            <w:shd w:val="clear" w:color="auto" w:fill="C0C0C0"/>
            <w:vAlign w:val="center"/>
          </w:tcPr>
          <w:p w14:paraId="57278EBA" w14:textId="3989BABC" w:rsidR="00335882" w:rsidRPr="003234C5" w:rsidRDefault="000F6F3E" w:rsidP="00335882">
            <w:pPr>
              <w:autoSpaceDE w:val="0"/>
              <w:autoSpaceDN w:val="0"/>
              <w:adjustRightInd w:val="0"/>
              <w:spacing w:after="0"/>
              <w:jc w:val="right"/>
              <w:rPr>
                <w:rFonts w:ascii="Arial" w:hAnsi="Arial" w:cs="Arial"/>
                <w:b/>
                <w:sz w:val="20"/>
                <w:szCs w:val="20"/>
              </w:rPr>
            </w:pPr>
            <w:r>
              <w:rPr>
                <w:rFonts w:ascii="Arial" w:hAnsi="Arial" w:cs="Arial"/>
                <w:b/>
                <w:sz w:val="20"/>
                <w:szCs w:val="20"/>
              </w:rPr>
              <w:t>8.844</w:t>
            </w:r>
          </w:p>
        </w:tc>
        <w:tc>
          <w:tcPr>
            <w:tcW w:w="1271" w:type="dxa"/>
            <w:shd w:val="clear" w:color="auto" w:fill="C0C0C0"/>
            <w:vAlign w:val="center"/>
          </w:tcPr>
          <w:p w14:paraId="239B4F69" w14:textId="3ECA097E" w:rsidR="00335882" w:rsidRPr="003234C5" w:rsidRDefault="00335882" w:rsidP="00335882">
            <w:pPr>
              <w:autoSpaceDE w:val="0"/>
              <w:autoSpaceDN w:val="0"/>
              <w:adjustRightInd w:val="0"/>
              <w:spacing w:after="0"/>
              <w:jc w:val="right"/>
              <w:rPr>
                <w:rFonts w:ascii="Arial" w:hAnsi="Arial" w:cs="Arial"/>
                <w:b/>
                <w:sz w:val="20"/>
                <w:szCs w:val="20"/>
              </w:rPr>
            </w:pPr>
            <w:r w:rsidRPr="003234C5">
              <w:rPr>
                <w:rFonts w:ascii="Arial" w:hAnsi="Arial" w:cs="Arial"/>
                <w:b/>
                <w:bCs/>
                <w:color w:val="000000"/>
                <w:sz w:val="20"/>
                <w:szCs w:val="20"/>
              </w:rPr>
              <w:t>19.527</w:t>
            </w:r>
          </w:p>
        </w:tc>
        <w:tc>
          <w:tcPr>
            <w:tcW w:w="1280" w:type="dxa"/>
            <w:shd w:val="clear" w:color="auto" w:fill="C0C0C0"/>
            <w:vAlign w:val="center"/>
          </w:tcPr>
          <w:p w14:paraId="184240D2" w14:textId="0E2F8A73" w:rsidR="00335882" w:rsidRPr="003234C5" w:rsidRDefault="000F6F3E" w:rsidP="00335882">
            <w:pPr>
              <w:spacing w:after="0"/>
              <w:jc w:val="right"/>
              <w:rPr>
                <w:rFonts w:ascii="Arial" w:hAnsi="Arial" w:cs="Arial"/>
                <w:b/>
                <w:sz w:val="20"/>
                <w:szCs w:val="20"/>
              </w:rPr>
            </w:pPr>
            <w:r>
              <w:rPr>
                <w:rFonts w:ascii="Arial" w:hAnsi="Arial" w:cs="Arial"/>
                <w:b/>
                <w:sz w:val="20"/>
                <w:szCs w:val="20"/>
              </w:rPr>
              <w:t>51.018</w:t>
            </w:r>
          </w:p>
        </w:tc>
        <w:tc>
          <w:tcPr>
            <w:tcW w:w="1276" w:type="dxa"/>
            <w:shd w:val="clear" w:color="auto" w:fill="C0C0C0"/>
            <w:vAlign w:val="center"/>
          </w:tcPr>
          <w:p w14:paraId="40BD6B51" w14:textId="118ADB47" w:rsidR="00335882" w:rsidRPr="003234C5" w:rsidRDefault="00335882" w:rsidP="00335882">
            <w:pPr>
              <w:spacing w:after="0"/>
              <w:jc w:val="right"/>
              <w:rPr>
                <w:rFonts w:ascii="Arial" w:hAnsi="Arial" w:cs="Arial"/>
                <w:b/>
                <w:sz w:val="20"/>
                <w:szCs w:val="20"/>
              </w:rPr>
            </w:pPr>
            <w:r w:rsidRPr="003234C5">
              <w:rPr>
                <w:rFonts w:ascii="Arial" w:hAnsi="Arial" w:cs="Arial"/>
                <w:b/>
                <w:bCs/>
                <w:color w:val="000000"/>
                <w:sz w:val="20"/>
                <w:szCs w:val="20"/>
              </w:rPr>
              <w:t>34.029</w:t>
            </w:r>
          </w:p>
        </w:tc>
      </w:tr>
    </w:tbl>
    <w:p w14:paraId="28B3626C" w14:textId="77777777" w:rsidR="00200682" w:rsidRPr="003234C5" w:rsidRDefault="00200682" w:rsidP="00200682">
      <w:pPr>
        <w:widowControl w:val="0"/>
        <w:jc w:val="both"/>
        <w:rPr>
          <w:rFonts w:ascii="Arial" w:hAnsi="Arial" w:cs="Arial"/>
          <w:b/>
        </w:rPr>
      </w:pPr>
    </w:p>
    <w:p w14:paraId="41D4EE5D" w14:textId="38CA32D9" w:rsidR="00C4541B" w:rsidRPr="00F42765" w:rsidRDefault="00C4541B" w:rsidP="00F42765">
      <w:pPr>
        <w:autoSpaceDE w:val="0"/>
        <w:autoSpaceDN w:val="0"/>
        <w:adjustRightInd w:val="0"/>
        <w:jc w:val="both"/>
        <w:rPr>
          <w:rFonts w:ascii="Arial" w:hAnsi="Arial" w:cs="Arial"/>
        </w:rPr>
      </w:pPr>
      <w:r w:rsidRPr="00F42765">
        <w:rPr>
          <w:rFonts w:ascii="Arial" w:hAnsi="Arial" w:cs="Arial"/>
        </w:rPr>
        <w:t xml:space="preserve">O Contrato Expansão Rede (N°. 16.2014.6002.16151), assinado em 20 de agosto de 2014, refere-se ao financiamento obtido junto ao Banco do Nordeste do Brasil para construção e montagem do Gasoduto Linha Tronco e ramais de Conexão. O valor principal foi </w:t>
      </w:r>
      <w:r w:rsidR="00EF5C71" w:rsidRPr="00F42765">
        <w:rPr>
          <w:rFonts w:ascii="Arial" w:hAnsi="Arial" w:cs="Arial"/>
        </w:rPr>
        <w:t xml:space="preserve">de </w:t>
      </w:r>
      <w:r w:rsidRPr="00F42765">
        <w:rPr>
          <w:rFonts w:ascii="Arial" w:hAnsi="Arial" w:cs="Arial"/>
        </w:rPr>
        <w:t xml:space="preserve">R$ 44.081, deduzidos dos custos a apropriar de R$ 366, a ser pago em 72 (setenta e duas) parcelas mensais, vencida a primeira no mês de setembro de 2018. A taxa de juros efetiva sobre o </w:t>
      </w:r>
      <w:r w:rsidRPr="00F42765">
        <w:rPr>
          <w:rFonts w:ascii="Arial" w:hAnsi="Arial" w:cs="Arial"/>
        </w:rPr>
        <w:lastRenderedPageBreak/>
        <w:t>principal é de 8,24% a.a. (oito inteiros e vinte e quatro centésimos por cento ao ano), e com desconto de 15% se pago em dia, capitalizados mensalmente e exigível trimestralmente durante o período de carência de 48 (quarenta e oito) meses, e mensalmente durante o período de amortização, a partir de setembro de 2018, juntamente com as prestações vincendas de principal. De 1º de janeiro de 201</w:t>
      </w:r>
      <w:r w:rsidR="00410C91" w:rsidRPr="00F42765">
        <w:rPr>
          <w:rFonts w:ascii="Arial" w:hAnsi="Arial" w:cs="Arial"/>
        </w:rPr>
        <w:t>9</w:t>
      </w:r>
      <w:r w:rsidRPr="00F42765">
        <w:rPr>
          <w:rFonts w:ascii="Arial" w:hAnsi="Arial" w:cs="Arial"/>
        </w:rPr>
        <w:t xml:space="preserve"> a 3</w:t>
      </w:r>
      <w:r w:rsidR="009C791F" w:rsidRPr="00F42765">
        <w:rPr>
          <w:rFonts w:ascii="Arial" w:hAnsi="Arial" w:cs="Arial"/>
        </w:rPr>
        <w:t>1</w:t>
      </w:r>
      <w:r w:rsidRPr="00F42765">
        <w:rPr>
          <w:rFonts w:ascii="Arial" w:hAnsi="Arial" w:cs="Arial"/>
        </w:rPr>
        <w:t xml:space="preserve"> de </w:t>
      </w:r>
      <w:r w:rsidR="009C791F" w:rsidRPr="00F42765">
        <w:rPr>
          <w:rFonts w:ascii="Arial" w:hAnsi="Arial" w:cs="Arial"/>
        </w:rPr>
        <w:t>dezembro</w:t>
      </w:r>
      <w:r w:rsidRPr="00F42765">
        <w:rPr>
          <w:rFonts w:ascii="Arial" w:hAnsi="Arial" w:cs="Arial"/>
        </w:rPr>
        <w:t xml:space="preserve"> de 201</w:t>
      </w:r>
      <w:r w:rsidR="00410C91" w:rsidRPr="00F42765">
        <w:rPr>
          <w:rFonts w:ascii="Arial" w:hAnsi="Arial" w:cs="Arial"/>
        </w:rPr>
        <w:t>9</w:t>
      </w:r>
      <w:r w:rsidRPr="00F42765">
        <w:rPr>
          <w:rFonts w:ascii="Arial" w:hAnsi="Arial" w:cs="Arial"/>
        </w:rPr>
        <w:t xml:space="preserve">, a </w:t>
      </w:r>
      <w:r w:rsidR="00EF5C71" w:rsidRPr="00F42765">
        <w:rPr>
          <w:rFonts w:ascii="Arial" w:hAnsi="Arial" w:cs="Arial"/>
        </w:rPr>
        <w:t xml:space="preserve">Companhia </w:t>
      </w:r>
      <w:r w:rsidRPr="00F42765">
        <w:rPr>
          <w:rFonts w:ascii="Arial" w:hAnsi="Arial" w:cs="Arial"/>
        </w:rPr>
        <w:t xml:space="preserve">pagou R$ </w:t>
      </w:r>
      <w:r w:rsidR="00857AD5" w:rsidRPr="00F42765">
        <w:rPr>
          <w:rFonts w:ascii="Arial" w:hAnsi="Arial" w:cs="Arial"/>
        </w:rPr>
        <w:t>2</w:t>
      </w:r>
      <w:r w:rsidR="009C791F" w:rsidRPr="00F42765">
        <w:rPr>
          <w:rFonts w:ascii="Arial" w:hAnsi="Arial" w:cs="Arial"/>
        </w:rPr>
        <w:t>.</w:t>
      </w:r>
      <w:r w:rsidR="00857AD5" w:rsidRPr="00F42765">
        <w:rPr>
          <w:rFonts w:ascii="Arial" w:hAnsi="Arial" w:cs="Arial"/>
        </w:rPr>
        <w:t>6</w:t>
      </w:r>
      <w:r w:rsidR="00A649AE" w:rsidRPr="00F42765">
        <w:rPr>
          <w:rFonts w:ascii="Arial" w:hAnsi="Arial" w:cs="Arial"/>
        </w:rPr>
        <w:t>20</w:t>
      </w:r>
      <w:r w:rsidRPr="00F42765">
        <w:rPr>
          <w:rFonts w:ascii="Arial" w:hAnsi="Arial" w:cs="Arial"/>
        </w:rPr>
        <w:t xml:space="preserve"> a título de juros sobre o valor financiado.</w:t>
      </w:r>
      <w:r w:rsidR="00650E33">
        <w:rPr>
          <w:rFonts w:ascii="Arial" w:hAnsi="Arial" w:cs="Arial"/>
        </w:rPr>
        <w:t xml:space="preserve"> Vale ressaltar que </w:t>
      </w:r>
      <w:r w:rsidR="004C32BB">
        <w:rPr>
          <w:rFonts w:ascii="Arial" w:hAnsi="Arial" w:cs="Arial"/>
        </w:rPr>
        <w:t xml:space="preserve">não há clausula de </w:t>
      </w:r>
      <w:proofErr w:type="spellStart"/>
      <w:r w:rsidR="004C32BB">
        <w:rPr>
          <w:rFonts w:ascii="Arial" w:hAnsi="Arial" w:cs="Arial"/>
        </w:rPr>
        <w:t>covenants</w:t>
      </w:r>
      <w:proofErr w:type="spellEnd"/>
      <w:r w:rsidR="00650E33">
        <w:rPr>
          <w:rFonts w:ascii="Arial" w:hAnsi="Arial" w:cs="Arial"/>
        </w:rPr>
        <w:t xml:space="preserve">. </w:t>
      </w:r>
    </w:p>
    <w:p w14:paraId="04D39537" w14:textId="60340E0D" w:rsidR="00200682" w:rsidRPr="00F42765" w:rsidRDefault="00200682" w:rsidP="00F42765">
      <w:pPr>
        <w:autoSpaceDE w:val="0"/>
        <w:autoSpaceDN w:val="0"/>
        <w:adjustRightInd w:val="0"/>
        <w:jc w:val="both"/>
        <w:rPr>
          <w:rFonts w:ascii="Arial" w:hAnsi="Arial" w:cs="Arial"/>
        </w:rPr>
      </w:pPr>
      <w:r w:rsidRPr="00F42765">
        <w:rPr>
          <w:rFonts w:ascii="Arial" w:hAnsi="Arial" w:cs="Arial"/>
        </w:rPr>
        <w:t xml:space="preserve">O Contrato Rede Térmica refere-se ao financiamento obtido junto à </w:t>
      </w:r>
      <w:r w:rsidR="00AD73BB" w:rsidRPr="00F42765">
        <w:rPr>
          <w:rFonts w:ascii="Arial" w:hAnsi="Arial" w:cs="Arial"/>
        </w:rPr>
        <w:t>Petrobras</w:t>
      </w:r>
      <w:r w:rsidRPr="00F42765">
        <w:rPr>
          <w:rFonts w:ascii="Arial" w:hAnsi="Arial" w:cs="Arial"/>
        </w:rPr>
        <w:t xml:space="preserve">, pela construção e montagem da Estação de Medição e Regulagem de Pressão e do Gasoduto de Conexão, para atendimento ao cliente </w:t>
      </w:r>
      <w:proofErr w:type="spellStart"/>
      <w:r w:rsidR="00AD73BB" w:rsidRPr="00F42765">
        <w:rPr>
          <w:rFonts w:ascii="Arial" w:hAnsi="Arial" w:cs="Arial"/>
        </w:rPr>
        <w:t>Termofortaleza</w:t>
      </w:r>
      <w:proofErr w:type="spellEnd"/>
      <w:r w:rsidRPr="00F42765">
        <w:rPr>
          <w:rFonts w:ascii="Arial" w:hAnsi="Arial" w:cs="Arial"/>
        </w:rPr>
        <w:t>, no valor</w:t>
      </w:r>
      <w:r w:rsidR="00EF5C71" w:rsidRPr="00F42765">
        <w:rPr>
          <w:rFonts w:ascii="Arial" w:hAnsi="Arial" w:cs="Arial"/>
        </w:rPr>
        <w:t xml:space="preserve"> </w:t>
      </w:r>
      <w:r w:rsidRPr="00F42765">
        <w:rPr>
          <w:rFonts w:ascii="Arial" w:hAnsi="Arial" w:cs="Arial"/>
        </w:rPr>
        <w:t xml:space="preserve">principal de R$ 4.896, a ser pago em 144 (cento e quarenta e quatro) parcelas mensais, vencida a primeira no mês de janeiro de 2004. As parcelas estão corrigidas, pela variação da Taxa de Juros de Longo Prazo (TJLP). As parcelas serão cobradas pela </w:t>
      </w:r>
      <w:r w:rsidR="00AD73BB" w:rsidRPr="00F42765">
        <w:rPr>
          <w:rFonts w:ascii="Arial" w:hAnsi="Arial" w:cs="Arial"/>
        </w:rPr>
        <w:t>Petrobras</w:t>
      </w:r>
      <w:r w:rsidRPr="00F42765">
        <w:rPr>
          <w:rFonts w:ascii="Arial" w:hAnsi="Arial" w:cs="Arial"/>
        </w:rPr>
        <w:t xml:space="preserve"> quando o gasoduto construído for regularizado junto à ANP – Agência Nacional de Petróleo.</w:t>
      </w:r>
    </w:p>
    <w:p w14:paraId="62AE75AB" w14:textId="49DD0DCA" w:rsidR="007257B6" w:rsidRPr="00F42765" w:rsidRDefault="00437565" w:rsidP="00F42765">
      <w:pPr>
        <w:autoSpaceDE w:val="0"/>
        <w:autoSpaceDN w:val="0"/>
        <w:adjustRightInd w:val="0"/>
        <w:jc w:val="both"/>
        <w:rPr>
          <w:rFonts w:ascii="Arial" w:hAnsi="Arial" w:cs="Arial"/>
        </w:rPr>
      </w:pPr>
      <w:r w:rsidRPr="00F42765">
        <w:rPr>
          <w:rFonts w:ascii="Arial" w:hAnsi="Arial" w:cs="Arial"/>
        </w:rPr>
        <w:t>Em 16 de agosto de 2019</w:t>
      </w:r>
      <w:r w:rsidR="00EB1261">
        <w:rPr>
          <w:rFonts w:ascii="Arial" w:hAnsi="Arial" w:cs="Arial"/>
        </w:rPr>
        <w:t>,</w:t>
      </w:r>
      <w:r w:rsidRPr="00F42765">
        <w:rPr>
          <w:rFonts w:ascii="Arial" w:hAnsi="Arial" w:cs="Arial"/>
        </w:rPr>
        <w:t xml:space="preserve"> foi assinado </w:t>
      </w:r>
      <w:r w:rsidR="007B5F8B">
        <w:rPr>
          <w:rFonts w:ascii="Arial" w:hAnsi="Arial" w:cs="Arial"/>
        </w:rPr>
        <w:t>um</w:t>
      </w:r>
      <w:r w:rsidRPr="00F42765">
        <w:rPr>
          <w:rFonts w:ascii="Arial" w:hAnsi="Arial" w:cs="Arial"/>
        </w:rPr>
        <w:t xml:space="preserve"> Termo de Encerramento de Pendência</w:t>
      </w:r>
      <w:r w:rsidR="00E5547C">
        <w:rPr>
          <w:rFonts w:ascii="Arial" w:hAnsi="Arial" w:cs="Arial"/>
        </w:rPr>
        <w:t>s</w:t>
      </w:r>
      <w:r w:rsidRPr="00F42765">
        <w:rPr>
          <w:rFonts w:ascii="Arial" w:hAnsi="Arial" w:cs="Arial"/>
        </w:rPr>
        <w:t xml:space="preserve"> – TEP entre Petrobras e </w:t>
      </w:r>
      <w:proofErr w:type="spellStart"/>
      <w:r w:rsidRPr="00F42765">
        <w:rPr>
          <w:rFonts w:ascii="Arial" w:hAnsi="Arial" w:cs="Arial"/>
        </w:rPr>
        <w:t>Cegás</w:t>
      </w:r>
      <w:proofErr w:type="spellEnd"/>
      <w:r w:rsidRPr="00F42765">
        <w:rPr>
          <w:rFonts w:ascii="Arial" w:hAnsi="Arial" w:cs="Arial"/>
        </w:rPr>
        <w:t xml:space="preserve"> com o </w:t>
      </w:r>
      <w:r w:rsidR="00EB40CE">
        <w:rPr>
          <w:rFonts w:ascii="Arial" w:hAnsi="Arial" w:cs="Arial"/>
        </w:rPr>
        <w:t>intuito</w:t>
      </w:r>
      <w:r w:rsidRPr="00F42765">
        <w:rPr>
          <w:rFonts w:ascii="Arial" w:hAnsi="Arial" w:cs="Arial"/>
        </w:rPr>
        <w:t xml:space="preserve"> de resolver pendências decorrentes do Contrato Rede Térmica supramencionado. Acordou-se entre as partes que a quitação do contrato se dará mediante o cumprimento de</w:t>
      </w:r>
      <w:r w:rsidR="00D4477E" w:rsidRPr="00F42765">
        <w:rPr>
          <w:rFonts w:ascii="Arial" w:hAnsi="Arial" w:cs="Arial"/>
        </w:rPr>
        <w:t xml:space="preserve"> obrigações previstas no TEP, bem como do pagamento do valor de R$ 1</w:t>
      </w:r>
      <w:r w:rsidR="007257B6">
        <w:rPr>
          <w:rFonts w:ascii="Arial" w:hAnsi="Arial" w:cs="Arial"/>
        </w:rPr>
        <w:t>2</w:t>
      </w:r>
      <w:r w:rsidR="00D4477E" w:rsidRPr="00F42765">
        <w:rPr>
          <w:rFonts w:ascii="Arial" w:hAnsi="Arial" w:cs="Arial"/>
        </w:rPr>
        <w:t>.</w:t>
      </w:r>
      <w:r w:rsidR="007257B6">
        <w:rPr>
          <w:rFonts w:ascii="Arial" w:hAnsi="Arial" w:cs="Arial"/>
        </w:rPr>
        <w:t>134</w:t>
      </w:r>
      <w:r w:rsidR="00D4477E" w:rsidRPr="00F42765">
        <w:rPr>
          <w:rFonts w:ascii="Arial" w:hAnsi="Arial" w:cs="Arial"/>
        </w:rPr>
        <w:t xml:space="preserve"> atualizados pelo IGPM até o mês anterior à data do respectivo pagamento.</w:t>
      </w:r>
      <w:r w:rsidR="00282C7A" w:rsidRPr="00F42765">
        <w:rPr>
          <w:rFonts w:ascii="Arial" w:hAnsi="Arial" w:cs="Arial"/>
        </w:rPr>
        <w:t xml:space="preserve"> </w:t>
      </w:r>
      <w:r w:rsidR="00F07F44">
        <w:rPr>
          <w:rFonts w:ascii="Arial" w:hAnsi="Arial" w:cs="Arial"/>
        </w:rPr>
        <w:t>Em 31 de dezembro de 2019</w:t>
      </w:r>
      <w:r w:rsidR="00325E99">
        <w:rPr>
          <w:rFonts w:ascii="Arial" w:hAnsi="Arial" w:cs="Arial"/>
        </w:rPr>
        <w:t>,</w:t>
      </w:r>
      <w:r w:rsidR="00F07F44">
        <w:rPr>
          <w:rFonts w:ascii="Arial" w:hAnsi="Arial" w:cs="Arial"/>
        </w:rPr>
        <w:t xml:space="preserve"> </w:t>
      </w:r>
      <w:r w:rsidR="00884FF6">
        <w:rPr>
          <w:rFonts w:ascii="Arial" w:hAnsi="Arial" w:cs="Arial"/>
        </w:rPr>
        <w:t>o impacto d</w:t>
      </w:r>
      <w:r w:rsidR="00F07F44">
        <w:rPr>
          <w:rFonts w:ascii="Arial" w:hAnsi="Arial" w:cs="Arial"/>
        </w:rPr>
        <w:t xml:space="preserve">a atualização monetária </w:t>
      </w:r>
      <w:r w:rsidR="00884FF6">
        <w:rPr>
          <w:rFonts w:ascii="Arial" w:hAnsi="Arial" w:cs="Arial"/>
        </w:rPr>
        <w:t xml:space="preserve">no resultado </w:t>
      </w:r>
      <w:r w:rsidR="007044A1">
        <w:rPr>
          <w:rFonts w:ascii="Arial" w:hAnsi="Arial" w:cs="Arial"/>
        </w:rPr>
        <w:t>seria</w:t>
      </w:r>
      <w:r w:rsidR="00884FF6">
        <w:rPr>
          <w:rFonts w:ascii="Arial" w:hAnsi="Arial" w:cs="Arial"/>
        </w:rPr>
        <w:t xml:space="preserve"> </w:t>
      </w:r>
      <w:r w:rsidR="00F07F44">
        <w:rPr>
          <w:rFonts w:ascii="Arial" w:hAnsi="Arial" w:cs="Arial"/>
        </w:rPr>
        <w:t>de R$ 2.581</w:t>
      </w:r>
      <w:r w:rsidR="00B101A1">
        <w:rPr>
          <w:rFonts w:ascii="Arial" w:hAnsi="Arial" w:cs="Arial"/>
        </w:rPr>
        <w:t xml:space="preserve">, </w:t>
      </w:r>
      <w:r w:rsidR="00884FF6">
        <w:rPr>
          <w:rFonts w:ascii="Arial" w:hAnsi="Arial" w:cs="Arial"/>
        </w:rPr>
        <w:t>que totalizaria um valor a pagar de</w:t>
      </w:r>
      <w:r w:rsidR="00B101A1">
        <w:rPr>
          <w:rFonts w:ascii="Arial" w:hAnsi="Arial" w:cs="Arial"/>
        </w:rPr>
        <w:t xml:space="preserve"> </w:t>
      </w:r>
      <w:r w:rsidR="00EA29E8">
        <w:rPr>
          <w:rFonts w:ascii="Arial" w:hAnsi="Arial" w:cs="Arial"/>
        </w:rPr>
        <w:t>R$ 14.715</w:t>
      </w:r>
      <w:r w:rsidR="00E876CE">
        <w:rPr>
          <w:rFonts w:ascii="Arial" w:hAnsi="Arial" w:cs="Arial"/>
        </w:rPr>
        <w:t>. No entanto, c</w:t>
      </w:r>
      <w:r w:rsidR="00282C7A" w:rsidRPr="00F42765">
        <w:rPr>
          <w:rFonts w:ascii="Arial" w:hAnsi="Arial" w:cs="Arial"/>
        </w:rPr>
        <w:t>onforme cláusula 5.1 do TEP</w:t>
      </w:r>
      <w:r w:rsidR="00884FF6">
        <w:rPr>
          <w:rFonts w:ascii="Arial" w:hAnsi="Arial" w:cs="Arial"/>
        </w:rPr>
        <w:t>,</w:t>
      </w:r>
      <w:r w:rsidR="00282C7A" w:rsidRPr="00F42765">
        <w:rPr>
          <w:rFonts w:ascii="Arial" w:hAnsi="Arial" w:cs="Arial"/>
        </w:rPr>
        <w:t xml:space="preserve"> a eficácia do instrumento é condicionada ao adimplemento total do objeto do Termo de Compromisso</w:t>
      </w:r>
      <w:r w:rsidR="00083D66">
        <w:rPr>
          <w:rFonts w:ascii="Arial" w:hAnsi="Arial" w:cs="Arial"/>
        </w:rPr>
        <w:t xml:space="preserve"> decorrente do TEP</w:t>
      </w:r>
      <w:r w:rsidR="00282C7A" w:rsidRPr="00F42765">
        <w:rPr>
          <w:rFonts w:ascii="Arial" w:hAnsi="Arial" w:cs="Arial"/>
        </w:rPr>
        <w:t xml:space="preserve"> celebrado entre as partes, </w:t>
      </w:r>
      <w:r w:rsidR="000451B5">
        <w:rPr>
          <w:rFonts w:ascii="Arial" w:hAnsi="Arial" w:cs="Arial"/>
        </w:rPr>
        <w:t>qual seja, a conclusão</w:t>
      </w:r>
      <w:r w:rsidR="000A0E66">
        <w:rPr>
          <w:rFonts w:ascii="Arial" w:hAnsi="Arial" w:cs="Arial"/>
        </w:rPr>
        <w:t>, por parte da Petrobras,</w:t>
      </w:r>
      <w:r w:rsidR="000451B5">
        <w:rPr>
          <w:rFonts w:ascii="Arial" w:hAnsi="Arial" w:cs="Arial"/>
        </w:rPr>
        <w:t xml:space="preserve"> das adequações do Ponto de Entrega José de Alencar e a construção</w:t>
      </w:r>
      <w:r w:rsidR="00BC0960">
        <w:rPr>
          <w:rFonts w:ascii="Arial" w:hAnsi="Arial" w:cs="Arial"/>
        </w:rPr>
        <w:t xml:space="preserve">, a ser realizada pela </w:t>
      </w:r>
      <w:proofErr w:type="spellStart"/>
      <w:r w:rsidR="00BC0960">
        <w:rPr>
          <w:rFonts w:ascii="Arial" w:hAnsi="Arial" w:cs="Arial"/>
        </w:rPr>
        <w:t>Cegás</w:t>
      </w:r>
      <w:proofErr w:type="spellEnd"/>
      <w:r w:rsidR="00BC0960">
        <w:rPr>
          <w:rFonts w:ascii="Arial" w:hAnsi="Arial" w:cs="Arial"/>
        </w:rPr>
        <w:t>,</w:t>
      </w:r>
      <w:r w:rsidR="000451B5">
        <w:rPr>
          <w:rFonts w:ascii="Arial" w:hAnsi="Arial" w:cs="Arial"/>
        </w:rPr>
        <w:t xml:space="preserve"> de Gasoduto de Distribuição para interligação do Ponto de Entrega José de Alencar à Usina </w:t>
      </w:r>
      <w:proofErr w:type="spellStart"/>
      <w:r w:rsidR="000451B5">
        <w:rPr>
          <w:rFonts w:ascii="Arial" w:hAnsi="Arial" w:cs="Arial"/>
        </w:rPr>
        <w:t>Termofortaleza</w:t>
      </w:r>
      <w:proofErr w:type="spellEnd"/>
      <w:r w:rsidR="000451B5">
        <w:rPr>
          <w:rFonts w:ascii="Arial" w:hAnsi="Arial" w:cs="Arial"/>
        </w:rPr>
        <w:t xml:space="preserve">. </w:t>
      </w:r>
      <w:r w:rsidR="00D02720">
        <w:rPr>
          <w:rFonts w:ascii="Arial" w:hAnsi="Arial" w:cs="Arial"/>
        </w:rPr>
        <w:t>Assim,</w:t>
      </w:r>
      <w:r w:rsidR="000451B5">
        <w:rPr>
          <w:rFonts w:ascii="Arial" w:hAnsi="Arial" w:cs="Arial"/>
        </w:rPr>
        <w:t xml:space="preserve"> o </w:t>
      </w:r>
      <w:r w:rsidR="00282C7A" w:rsidRPr="00F42765">
        <w:rPr>
          <w:rFonts w:ascii="Arial" w:hAnsi="Arial" w:cs="Arial"/>
        </w:rPr>
        <w:t xml:space="preserve">reconhecimento da atualização monetária </w:t>
      </w:r>
      <w:r w:rsidR="000451B5">
        <w:rPr>
          <w:rFonts w:ascii="Arial" w:hAnsi="Arial" w:cs="Arial"/>
        </w:rPr>
        <w:t xml:space="preserve">prevista no instrumento será </w:t>
      </w:r>
      <w:proofErr w:type="gramStart"/>
      <w:r w:rsidR="000451B5">
        <w:rPr>
          <w:rFonts w:ascii="Arial" w:hAnsi="Arial" w:cs="Arial"/>
        </w:rPr>
        <w:t>apropriada</w:t>
      </w:r>
      <w:proofErr w:type="gramEnd"/>
      <w:r w:rsidR="000451B5">
        <w:rPr>
          <w:rFonts w:ascii="Arial" w:hAnsi="Arial" w:cs="Arial"/>
        </w:rPr>
        <w:t xml:space="preserve"> </w:t>
      </w:r>
      <w:r w:rsidR="005517D4">
        <w:rPr>
          <w:rFonts w:ascii="Arial" w:hAnsi="Arial" w:cs="Arial"/>
        </w:rPr>
        <w:t>ao resultado n</w:t>
      </w:r>
      <w:r w:rsidR="000451B5">
        <w:rPr>
          <w:rFonts w:ascii="Arial" w:hAnsi="Arial" w:cs="Arial"/>
        </w:rPr>
        <w:t xml:space="preserve">a medida </w:t>
      </w:r>
      <w:r w:rsidR="005517D4">
        <w:rPr>
          <w:rFonts w:ascii="Arial" w:hAnsi="Arial" w:cs="Arial"/>
        </w:rPr>
        <w:t xml:space="preserve">em </w:t>
      </w:r>
      <w:r w:rsidR="000451B5">
        <w:rPr>
          <w:rFonts w:ascii="Arial" w:hAnsi="Arial" w:cs="Arial"/>
        </w:rPr>
        <w:t xml:space="preserve">que </w:t>
      </w:r>
      <w:r w:rsidR="00DF226A">
        <w:rPr>
          <w:rFonts w:ascii="Arial" w:hAnsi="Arial" w:cs="Arial"/>
        </w:rPr>
        <w:t>as obrigações acordadas</w:t>
      </w:r>
      <w:r w:rsidR="00C75A9E">
        <w:rPr>
          <w:rFonts w:ascii="Arial" w:hAnsi="Arial" w:cs="Arial"/>
        </w:rPr>
        <w:t xml:space="preserve"> entre as partes</w:t>
      </w:r>
      <w:r w:rsidR="00D30240">
        <w:rPr>
          <w:rFonts w:ascii="Arial" w:hAnsi="Arial" w:cs="Arial"/>
        </w:rPr>
        <w:t xml:space="preserve"> forem cumpridas</w:t>
      </w:r>
      <w:r w:rsidR="00C75A9E">
        <w:rPr>
          <w:rFonts w:ascii="Arial" w:hAnsi="Arial" w:cs="Arial"/>
        </w:rPr>
        <w:t>.</w:t>
      </w:r>
      <w:r w:rsidR="00480D8D">
        <w:rPr>
          <w:rFonts w:ascii="Arial" w:hAnsi="Arial" w:cs="Arial"/>
        </w:rPr>
        <w:t xml:space="preserve"> Segundo a </w:t>
      </w:r>
      <w:r w:rsidR="00F24266" w:rsidRPr="00162FE2">
        <w:rPr>
          <w:rFonts w:ascii="Arial" w:hAnsi="Arial" w:cs="Arial"/>
        </w:rPr>
        <w:t>Cláusul</w:t>
      </w:r>
      <w:r w:rsidR="002462C5">
        <w:rPr>
          <w:rFonts w:ascii="Arial" w:hAnsi="Arial" w:cs="Arial"/>
        </w:rPr>
        <w:t>a</w:t>
      </w:r>
      <w:r w:rsidR="00F24266" w:rsidRPr="00162FE2">
        <w:rPr>
          <w:rFonts w:ascii="Arial" w:hAnsi="Arial" w:cs="Arial"/>
        </w:rPr>
        <w:t xml:space="preserve"> </w:t>
      </w:r>
      <w:r w:rsidR="00875441" w:rsidRPr="00162FE2">
        <w:rPr>
          <w:rFonts w:ascii="Arial" w:hAnsi="Arial" w:cs="Arial"/>
        </w:rPr>
        <w:t>10.1</w:t>
      </w:r>
      <w:r w:rsidR="00F24266" w:rsidRPr="00162FE2">
        <w:rPr>
          <w:rFonts w:ascii="Arial" w:hAnsi="Arial" w:cs="Arial"/>
        </w:rPr>
        <w:t xml:space="preserve"> do T</w:t>
      </w:r>
      <w:r w:rsidR="00ED5733" w:rsidRPr="00162FE2">
        <w:rPr>
          <w:rFonts w:ascii="Arial" w:hAnsi="Arial" w:cs="Arial"/>
        </w:rPr>
        <w:t>ermo</w:t>
      </w:r>
      <w:r w:rsidR="00ED5733">
        <w:rPr>
          <w:rFonts w:ascii="Arial" w:hAnsi="Arial" w:cs="Arial"/>
        </w:rPr>
        <w:t xml:space="preserve"> </w:t>
      </w:r>
      <w:r w:rsidR="00162FE2">
        <w:rPr>
          <w:rFonts w:ascii="Arial" w:hAnsi="Arial" w:cs="Arial"/>
        </w:rPr>
        <w:t>Compromisso</w:t>
      </w:r>
      <w:r w:rsidR="003F08AE">
        <w:rPr>
          <w:rFonts w:ascii="Arial" w:hAnsi="Arial" w:cs="Arial"/>
        </w:rPr>
        <w:t xml:space="preserve"> do TEP</w:t>
      </w:r>
      <w:r w:rsidR="00F24266">
        <w:rPr>
          <w:rFonts w:ascii="Arial" w:hAnsi="Arial" w:cs="Arial"/>
        </w:rPr>
        <w:t xml:space="preserve">, o prazo para conclusão </w:t>
      </w:r>
      <w:r w:rsidR="00A767E3">
        <w:rPr>
          <w:rFonts w:ascii="Arial" w:hAnsi="Arial" w:cs="Arial"/>
        </w:rPr>
        <w:t xml:space="preserve">das obrigações é de </w:t>
      </w:r>
      <w:r w:rsidR="00C011D7">
        <w:rPr>
          <w:rFonts w:ascii="Arial" w:hAnsi="Arial" w:cs="Arial"/>
        </w:rPr>
        <w:t xml:space="preserve">até </w:t>
      </w:r>
      <w:r w:rsidR="00A767E3">
        <w:rPr>
          <w:rFonts w:ascii="Arial" w:hAnsi="Arial" w:cs="Arial"/>
        </w:rPr>
        <w:t>24 meses</w:t>
      </w:r>
      <w:r w:rsidR="00C011D7">
        <w:rPr>
          <w:rFonts w:ascii="Arial" w:hAnsi="Arial" w:cs="Arial"/>
        </w:rPr>
        <w:t>,</w:t>
      </w:r>
      <w:r w:rsidR="00A767E3">
        <w:rPr>
          <w:rFonts w:ascii="Arial" w:hAnsi="Arial" w:cs="Arial"/>
        </w:rPr>
        <w:t xml:space="preserve"> prorrogáveis por igual período</w:t>
      </w:r>
      <w:r w:rsidR="00D212D7">
        <w:rPr>
          <w:rFonts w:ascii="Arial" w:hAnsi="Arial" w:cs="Arial"/>
        </w:rPr>
        <w:t>,</w:t>
      </w:r>
      <w:r w:rsidR="00A767E3">
        <w:rPr>
          <w:rFonts w:ascii="Arial" w:hAnsi="Arial" w:cs="Arial"/>
        </w:rPr>
        <w:t xml:space="preserve"> a contar da data de assinatura</w:t>
      </w:r>
      <w:r w:rsidR="008B6B69">
        <w:rPr>
          <w:rFonts w:ascii="Arial" w:hAnsi="Arial" w:cs="Arial"/>
        </w:rPr>
        <w:t xml:space="preserve"> do </w:t>
      </w:r>
      <w:r w:rsidR="00C011D7">
        <w:rPr>
          <w:rFonts w:ascii="Arial" w:hAnsi="Arial" w:cs="Arial"/>
        </w:rPr>
        <w:t>citado documento.</w:t>
      </w:r>
    </w:p>
    <w:p w14:paraId="08EF3298" w14:textId="3DE06CEA" w:rsidR="00ED16E4" w:rsidRPr="00F42765" w:rsidRDefault="00DE13DE" w:rsidP="00F42765">
      <w:pPr>
        <w:autoSpaceDE w:val="0"/>
        <w:autoSpaceDN w:val="0"/>
        <w:adjustRightInd w:val="0"/>
        <w:jc w:val="both"/>
        <w:rPr>
          <w:rFonts w:ascii="Arial" w:hAnsi="Arial" w:cs="Arial"/>
        </w:rPr>
      </w:pPr>
      <w:r w:rsidRPr="00F42765">
        <w:rPr>
          <w:rFonts w:ascii="Arial" w:hAnsi="Arial" w:cs="Arial"/>
        </w:rPr>
        <w:t xml:space="preserve">A Companhia reconheceu o </w:t>
      </w:r>
      <w:r w:rsidR="000643C6" w:rsidRPr="00F42765">
        <w:rPr>
          <w:rFonts w:ascii="Arial" w:hAnsi="Arial" w:cs="Arial"/>
        </w:rPr>
        <w:t>a</w:t>
      </w:r>
      <w:r w:rsidRPr="00F42765">
        <w:rPr>
          <w:rFonts w:ascii="Arial" w:hAnsi="Arial" w:cs="Arial"/>
        </w:rPr>
        <w:t>rrendamento</w:t>
      </w:r>
      <w:r w:rsidR="000643C6" w:rsidRPr="00F42765">
        <w:rPr>
          <w:rFonts w:ascii="Arial" w:hAnsi="Arial" w:cs="Arial"/>
        </w:rPr>
        <w:t xml:space="preserve"> </w:t>
      </w:r>
      <w:r w:rsidRPr="00F42765">
        <w:rPr>
          <w:rFonts w:ascii="Arial" w:hAnsi="Arial" w:cs="Arial"/>
        </w:rPr>
        <w:t xml:space="preserve">referente a sede administrativa conforme descrito na Nota 5. </w:t>
      </w:r>
      <w:r w:rsidR="000643C6" w:rsidRPr="00F42765">
        <w:rPr>
          <w:rFonts w:ascii="Arial" w:hAnsi="Arial" w:cs="Arial"/>
        </w:rPr>
        <w:t xml:space="preserve">Assim no início do arrendamento, a CEGÁS separou os pagamentos entre aluguel e demais elementos do contrato com base no seu valor justo relativo. Os custos financeiros atribuídos ao passivo foram determinados com base na taxa de juros do contrato do financiamento vigente (8,24% </w:t>
      </w:r>
      <w:proofErr w:type="spellStart"/>
      <w:proofErr w:type="gramStart"/>
      <w:r w:rsidR="000643C6" w:rsidRPr="00F42765">
        <w:rPr>
          <w:rFonts w:ascii="Arial" w:hAnsi="Arial" w:cs="Arial"/>
        </w:rPr>
        <w:t>a.a</w:t>
      </w:r>
      <w:proofErr w:type="spellEnd"/>
      <w:proofErr w:type="gramEnd"/>
      <w:r w:rsidR="000643C6" w:rsidRPr="00F42765">
        <w:rPr>
          <w:rFonts w:ascii="Arial" w:hAnsi="Arial" w:cs="Arial"/>
        </w:rPr>
        <w:t>)</w:t>
      </w:r>
      <w:r w:rsidR="004C32BB">
        <w:rPr>
          <w:rFonts w:ascii="Arial" w:hAnsi="Arial" w:cs="Arial"/>
        </w:rPr>
        <w:t>.</w:t>
      </w:r>
      <w:r w:rsidR="00650E33" w:rsidRPr="00F42765">
        <w:rPr>
          <w:rFonts w:ascii="Arial" w:hAnsi="Arial" w:cs="Arial"/>
        </w:rPr>
        <w:t xml:space="preserve">De 1º de janeiro de 2019 a 31 de dezembro de 2019, a Companhia pagou R$ </w:t>
      </w:r>
      <w:r w:rsidR="00650E33">
        <w:rPr>
          <w:rFonts w:ascii="Arial" w:hAnsi="Arial" w:cs="Arial"/>
        </w:rPr>
        <w:t>1.135</w:t>
      </w:r>
      <w:r w:rsidR="00650E33" w:rsidRPr="00F42765">
        <w:rPr>
          <w:rFonts w:ascii="Arial" w:hAnsi="Arial" w:cs="Arial"/>
        </w:rPr>
        <w:t xml:space="preserve"> a título de juros sobre o valor </w:t>
      </w:r>
      <w:r w:rsidR="00650E33">
        <w:rPr>
          <w:rFonts w:ascii="Arial" w:hAnsi="Arial" w:cs="Arial"/>
        </w:rPr>
        <w:t>arrendado. O índice de atualização do contrato é o IGP-M</w:t>
      </w:r>
      <w:r w:rsidR="0046130F">
        <w:rPr>
          <w:rFonts w:ascii="Arial" w:hAnsi="Arial" w:cs="Arial"/>
        </w:rPr>
        <w:t>, no valor de 1,0782225.</w:t>
      </w:r>
    </w:p>
    <w:p w14:paraId="5F357AC1" w14:textId="39F0C55F" w:rsidR="00E87A86" w:rsidRPr="003234C5" w:rsidRDefault="00E87A86" w:rsidP="00E87A86">
      <w:pPr>
        <w:widowControl w:val="0"/>
        <w:jc w:val="both"/>
        <w:rPr>
          <w:rFonts w:ascii="Arial" w:hAnsi="Arial" w:cs="Arial"/>
          <w:b/>
        </w:rPr>
      </w:pPr>
      <w:r w:rsidRPr="003234C5">
        <w:rPr>
          <w:rFonts w:ascii="Arial" w:hAnsi="Arial" w:cs="Arial"/>
          <w:b/>
        </w:rPr>
        <w:t>NOTA 2</w:t>
      </w:r>
      <w:r w:rsidR="00DF56ED">
        <w:rPr>
          <w:rFonts w:ascii="Arial" w:hAnsi="Arial" w:cs="Arial"/>
          <w:b/>
        </w:rPr>
        <w:t>1</w:t>
      </w:r>
      <w:r w:rsidRPr="003234C5">
        <w:rPr>
          <w:rFonts w:ascii="Arial" w:hAnsi="Arial" w:cs="Arial"/>
          <w:b/>
        </w:rPr>
        <w:t>. DÉBITOS NAS OPERAÇÕES DE VENDA E AQUISIÇÃO DE GÁS</w:t>
      </w:r>
    </w:p>
    <w:p w14:paraId="65B6DD1F" w14:textId="245E5E0B" w:rsidR="00E87A86" w:rsidRPr="003234C5" w:rsidRDefault="00E87A86" w:rsidP="00E87A86">
      <w:pPr>
        <w:autoSpaceDE w:val="0"/>
        <w:autoSpaceDN w:val="0"/>
        <w:adjustRightInd w:val="0"/>
        <w:jc w:val="both"/>
        <w:rPr>
          <w:rFonts w:ascii="Arial" w:hAnsi="Arial" w:cs="Arial"/>
        </w:rPr>
      </w:pPr>
      <w:r w:rsidRPr="003234C5">
        <w:rPr>
          <w:rFonts w:ascii="Arial" w:hAnsi="Arial" w:cs="Arial"/>
        </w:rPr>
        <w:t xml:space="preserve">Os valores registrados nas contas Débitos nas operações de venda e aquisição de gás referem-se à aplicação de cláusulas contratuais dos contratos dos maiores clientes </w:t>
      </w:r>
      <w:r w:rsidR="004C32BB">
        <w:rPr>
          <w:rFonts w:ascii="Arial" w:hAnsi="Arial" w:cs="Arial"/>
        </w:rPr>
        <w:t xml:space="preserve">industriais </w:t>
      </w:r>
      <w:r w:rsidRPr="003234C5">
        <w:rPr>
          <w:rFonts w:ascii="Arial" w:hAnsi="Arial" w:cs="Arial"/>
        </w:rPr>
        <w:t xml:space="preserve">que garantem à Companhia o adiantamento de valores correspondentes aos compromissos firmes de aquisição de volumes de gás. </w:t>
      </w:r>
    </w:p>
    <w:p w14:paraId="334DE493" w14:textId="77777777" w:rsidR="00E87A86" w:rsidRPr="003234C5" w:rsidRDefault="00E87A86" w:rsidP="00E87A86">
      <w:pPr>
        <w:autoSpaceDE w:val="0"/>
        <w:autoSpaceDN w:val="0"/>
        <w:adjustRightInd w:val="0"/>
        <w:jc w:val="both"/>
        <w:rPr>
          <w:rFonts w:ascii="Arial" w:hAnsi="Arial" w:cs="Arial"/>
        </w:rPr>
      </w:pPr>
      <w:r w:rsidRPr="003234C5">
        <w:rPr>
          <w:rFonts w:ascii="Arial" w:hAnsi="Arial" w:cs="Arial"/>
        </w:rPr>
        <w:t xml:space="preserve">Em consonância com as regras contratuais, esses adiantamentos são baixados contra a rubrica contas a receber de cada cliente à medida que os volumes de gás são retirados pelos </w:t>
      </w:r>
      <w:r w:rsidRPr="003234C5">
        <w:rPr>
          <w:rFonts w:ascii="Arial" w:hAnsi="Arial" w:cs="Arial"/>
        </w:rPr>
        <w:lastRenderedPageBreak/>
        <w:t xml:space="preserve">usuários ou levando para o resultado como receita de penalidades, no caso de expirado o prazo contratual para a retirada do gás. </w:t>
      </w:r>
    </w:p>
    <w:p w14:paraId="4E46ADF9" w14:textId="77777777" w:rsidR="00E87A86" w:rsidRPr="003234C5" w:rsidRDefault="00E87A86" w:rsidP="00E87A86">
      <w:pPr>
        <w:autoSpaceDE w:val="0"/>
        <w:autoSpaceDN w:val="0"/>
        <w:adjustRightInd w:val="0"/>
        <w:jc w:val="both"/>
        <w:rPr>
          <w:rFonts w:ascii="Arial" w:hAnsi="Arial" w:cs="Arial"/>
        </w:rPr>
      </w:pPr>
      <w:r w:rsidRPr="003234C5">
        <w:rPr>
          <w:rFonts w:ascii="Arial" w:hAnsi="Arial" w:cs="Arial"/>
        </w:rPr>
        <w:t xml:space="preserve">O contrato com o cliente </w:t>
      </w:r>
      <w:proofErr w:type="spellStart"/>
      <w:r w:rsidRPr="003234C5">
        <w:rPr>
          <w:rFonts w:ascii="Arial" w:hAnsi="Arial" w:cs="Arial"/>
        </w:rPr>
        <w:t>Termofortaleza</w:t>
      </w:r>
      <w:proofErr w:type="spellEnd"/>
      <w:r w:rsidRPr="003234C5">
        <w:rPr>
          <w:rFonts w:ascii="Arial" w:hAnsi="Arial" w:cs="Arial"/>
        </w:rPr>
        <w:t xml:space="preserve"> estabelece que os valores adiantados correspondem a volumes de gás a serem retirados. Desta forma, estes montantes são atualizados pela variação do preço do gás ao final do exercício social. Os demais valores, que estão atrelados a outras modalidades contratuais, são mantidos a valores nominais.</w:t>
      </w:r>
    </w:p>
    <w:p w14:paraId="25BB8129" w14:textId="09D8FF52" w:rsidR="00E87A86" w:rsidRPr="003234C5" w:rsidRDefault="00E87A86" w:rsidP="00E87A86">
      <w:pPr>
        <w:autoSpaceDE w:val="0"/>
        <w:autoSpaceDN w:val="0"/>
        <w:adjustRightInd w:val="0"/>
        <w:jc w:val="both"/>
        <w:rPr>
          <w:rFonts w:ascii="Arial" w:hAnsi="Arial" w:cs="Arial"/>
        </w:rPr>
      </w:pPr>
      <w:r w:rsidRPr="003234C5">
        <w:rPr>
          <w:rFonts w:ascii="Arial" w:hAnsi="Arial" w:cs="Arial"/>
        </w:rPr>
        <w:t xml:space="preserve">A conta também contempla os valores de Cauções de Clientes </w:t>
      </w:r>
      <w:r w:rsidR="00A746E0" w:rsidRPr="003234C5">
        <w:rPr>
          <w:rFonts w:ascii="Arial" w:hAnsi="Arial" w:cs="Arial"/>
        </w:rPr>
        <w:t>dado em</w:t>
      </w:r>
      <w:r w:rsidRPr="003234C5">
        <w:rPr>
          <w:rFonts w:ascii="Arial" w:hAnsi="Arial" w:cs="Arial"/>
        </w:rPr>
        <w:t xml:space="preserve"> garantia contratua</w:t>
      </w:r>
      <w:r w:rsidR="00A746E0" w:rsidRPr="003234C5">
        <w:rPr>
          <w:rFonts w:ascii="Arial" w:hAnsi="Arial" w:cs="Arial"/>
        </w:rPr>
        <w:t>l</w:t>
      </w:r>
      <w:r w:rsidRPr="003234C5">
        <w:rPr>
          <w:rFonts w:ascii="Arial" w:hAnsi="Arial" w:cs="Arial"/>
        </w:rPr>
        <w:t>.</w:t>
      </w:r>
      <w:r w:rsidR="008B5CDD" w:rsidRPr="003234C5">
        <w:rPr>
          <w:rFonts w:ascii="Arial" w:hAnsi="Arial" w:cs="Arial"/>
        </w:rPr>
        <w:t xml:space="preserve"> </w:t>
      </w:r>
      <w:r w:rsidRPr="003234C5">
        <w:rPr>
          <w:rFonts w:ascii="Arial" w:hAnsi="Arial" w:cs="Arial"/>
        </w:rPr>
        <w:t>A composição da Conta Débitos nas operações de venda e aquisição de gás está demonstrada conforme segue abaixo:</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410C91" w:rsidRPr="003234C5" w14:paraId="32564C52" w14:textId="77777777" w:rsidTr="008C71D1">
        <w:trPr>
          <w:trHeight w:val="431"/>
          <w:jc w:val="center"/>
        </w:trPr>
        <w:tc>
          <w:tcPr>
            <w:tcW w:w="6941" w:type="dxa"/>
            <w:shd w:val="clear" w:color="auto" w:fill="C0C0C0"/>
            <w:vAlign w:val="center"/>
          </w:tcPr>
          <w:p w14:paraId="2556D225" w14:textId="77777777" w:rsidR="00410C91" w:rsidRPr="003234C5" w:rsidRDefault="00410C91" w:rsidP="00410C9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CIRCULANTE</w:t>
            </w:r>
          </w:p>
        </w:tc>
        <w:tc>
          <w:tcPr>
            <w:tcW w:w="1134" w:type="dxa"/>
            <w:shd w:val="clear" w:color="auto" w:fill="C0C0C0"/>
            <w:vAlign w:val="bottom"/>
          </w:tcPr>
          <w:p w14:paraId="0EC89D87" w14:textId="22CECDDD" w:rsidR="00410C91" w:rsidRPr="003234C5" w:rsidRDefault="00C6257E" w:rsidP="00410C91">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006" w:type="dxa"/>
            <w:shd w:val="clear" w:color="auto" w:fill="C0C0C0"/>
            <w:vAlign w:val="bottom"/>
          </w:tcPr>
          <w:p w14:paraId="414FED7B" w14:textId="775FA05B" w:rsidR="00410C91" w:rsidRPr="003234C5" w:rsidRDefault="00C6257E" w:rsidP="00410C91">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4C5C82" w:rsidRPr="003234C5" w14:paraId="2A08C1AC" w14:textId="77777777" w:rsidTr="009B7582">
        <w:trPr>
          <w:trHeight w:val="227"/>
          <w:jc w:val="center"/>
        </w:trPr>
        <w:tc>
          <w:tcPr>
            <w:tcW w:w="6941" w:type="dxa"/>
            <w:shd w:val="clear" w:color="auto" w:fill="FFFFFF"/>
          </w:tcPr>
          <w:p w14:paraId="33BAA7F4" w14:textId="77777777" w:rsidR="004C5C82" w:rsidRPr="003234C5" w:rsidRDefault="004C5C82" w:rsidP="004C5C82">
            <w:pPr>
              <w:autoSpaceDE w:val="0"/>
              <w:autoSpaceDN w:val="0"/>
              <w:adjustRightInd w:val="0"/>
              <w:spacing w:after="0"/>
              <w:jc w:val="both"/>
              <w:rPr>
                <w:rFonts w:ascii="Arial" w:hAnsi="Arial" w:cs="Arial"/>
                <w:sz w:val="20"/>
                <w:szCs w:val="20"/>
              </w:rPr>
            </w:pPr>
            <w:bookmarkStart w:id="30" w:name="_Hlk506329372"/>
            <w:r w:rsidRPr="003234C5">
              <w:rPr>
                <w:rFonts w:ascii="Arial" w:hAnsi="Arial" w:cs="Arial"/>
                <w:sz w:val="20"/>
                <w:szCs w:val="20"/>
              </w:rPr>
              <w:t>Contr. de Clientes – Compromisso de retirada de gás (i)</w:t>
            </w:r>
          </w:p>
        </w:tc>
        <w:tc>
          <w:tcPr>
            <w:tcW w:w="1134" w:type="dxa"/>
            <w:shd w:val="clear" w:color="auto" w:fill="FFFFFF"/>
            <w:vAlign w:val="center"/>
          </w:tcPr>
          <w:p w14:paraId="1AC9FE08" w14:textId="7AE221E3" w:rsidR="004C5C82" w:rsidRPr="003234C5" w:rsidRDefault="0072303D" w:rsidP="004C5C82">
            <w:pPr>
              <w:spacing w:after="0"/>
              <w:jc w:val="right"/>
              <w:rPr>
                <w:rFonts w:ascii="Arial" w:hAnsi="Arial" w:cs="Arial"/>
                <w:sz w:val="20"/>
                <w:szCs w:val="20"/>
              </w:rPr>
            </w:pPr>
            <w:r>
              <w:rPr>
                <w:rFonts w:ascii="Arial" w:hAnsi="Arial" w:cs="Arial"/>
                <w:sz w:val="20"/>
                <w:szCs w:val="20"/>
              </w:rPr>
              <w:t>5.122</w:t>
            </w:r>
          </w:p>
        </w:tc>
        <w:tc>
          <w:tcPr>
            <w:tcW w:w="1006" w:type="dxa"/>
            <w:shd w:val="clear" w:color="auto" w:fill="FFFFFF"/>
            <w:vAlign w:val="center"/>
          </w:tcPr>
          <w:p w14:paraId="522329D5" w14:textId="5211C975" w:rsidR="004C5C82" w:rsidRPr="003234C5" w:rsidRDefault="004C5C82" w:rsidP="004C5C82">
            <w:pPr>
              <w:spacing w:after="0"/>
              <w:jc w:val="right"/>
              <w:rPr>
                <w:rFonts w:ascii="Arial" w:hAnsi="Arial" w:cs="Arial"/>
                <w:sz w:val="20"/>
                <w:szCs w:val="20"/>
              </w:rPr>
            </w:pPr>
            <w:r w:rsidRPr="003234C5">
              <w:rPr>
                <w:rFonts w:ascii="Arial" w:hAnsi="Arial" w:cs="Arial"/>
                <w:color w:val="000000"/>
                <w:sz w:val="20"/>
                <w:szCs w:val="20"/>
              </w:rPr>
              <w:t>10.420</w:t>
            </w:r>
          </w:p>
        </w:tc>
      </w:tr>
      <w:bookmarkEnd w:id="30"/>
      <w:tr w:rsidR="004C5C82" w:rsidRPr="003234C5" w14:paraId="2B8B20EA" w14:textId="77777777" w:rsidTr="009B7582">
        <w:trPr>
          <w:trHeight w:val="227"/>
          <w:jc w:val="center"/>
        </w:trPr>
        <w:tc>
          <w:tcPr>
            <w:tcW w:w="6941" w:type="dxa"/>
            <w:shd w:val="clear" w:color="auto" w:fill="FFFFFF"/>
          </w:tcPr>
          <w:p w14:paraId="2CFAAF8A" w14:textId="77777777" w:rsidR="004C5C82" w:rsidRPr="003234C5" w:rsidRDefault="004C5C82" w:rsidP="004C5C82">
            <w:pPr>
              <w:autoSpaceDE w:val="0"/>
              <w:autoSpaceDN w:val="0"/>
              <w:adjustRightInd w:val="0"/>
              <w:spacing w:after="0"/>
              <w:jc w:val="both"/>
              <w:rPr>
                <w:rFonts w:ascii="Arial" w:hAnsi="Arial" w:cs="Arial"/>
                <w:sz w:val="20"/>
                <w:szCs w:val="20"/>
              </w:rPr>
            </w:pPr>
            <w:r w:rsidRPr="003234C5">
              <w:rPr>
                <w:rFonts w:ascii="Arial" w:hAnsi="Arial" w:cs="Arial"/>
                <w:sz w:val="20"/>
                <w:szCs w:val="20"/>
              </w:rPr>
              <w:t>Cauções de Clientes (</w:t>
            </w:r>
            <w:proofErr w:type="spellStart"/>
            <w:r w:rsidRPr="003234C5">
              <w:rPr>
                <w:rFonts w:ascii="Arial" w:hAnsi="Arial" w:cs="Arial"/>
                <w:sz w:val="20"/>
                <w:szCs w:val="20"/>
              </w:rPr>
              <w:t>ii</w:t>
            </w:r>
            <w:proofErr w:type="spellEnd"/>
            <w:r w:rsidRPr="003234C5">
              <w:rPr>
                <w:rFonts w:ascii="Arial" w:hAnsi="Arial" w:cs="Arial"/>
                <w:sz w:val="20"/>
                <w:szCs w:val="20"/>
              </w:rPr>
              <w:t>)</w:t>
            </w:r>
          </w:p>
        </w:tc>
        <w:tc>
          <w:tcPr>
            <w:tcW w:w="1134" w:type="dxa"/>
            <w:shd w:val="clear" w:color="auto" w:fill="FFFFFF"/>
            <w:vAlign w:val="center"/>
          </w:tcPr>
          <w:p w14:paraId="282D029F" w14:textId="032909F5" w:rsidR="004C5C82" w:rsidRPr="008C71D1" w:rsidRDefault="0072303D" w:rsidP="008C71D1">
            <w:pPr>
              <w:spacing w:after="0"/>
              <w:jc w:val="right"/>
              <w:rPr>
                <w:rFonts w:ascii="Arial" w:hAnsi="Arial" w:cs="Arial"/>
                <w:sz w:val="20"/>
                <w:szCs w:val="20"/>
              </w:rPr>
            </w:pPr>
            <w:r w:rsidRPr="008C71D1">
              <w:rPr>
                <w:rFonts w:ascii="Arial" w:hAnsi="Arial" w:cs="Arial"/>
                <w:sz w:val="20"/>
                <w:szCs w:val="20"/>
              </w:rPr>
              <w:t>90</w:t>
            </w:r>
          </w:p>
        </w:tc>
        <w:tc>
          <w:tcPr>
            <w:tcW w:w="1006" w:type="dxa"/>
            <w:shd w:val="clear" w:color="auto" w:fill="FFFFFF"/>
            <w:vAlign w:val="center"/>
          </w:tcPr>
          <w:p w14:paraId="61CA5E28" w14:textId="6E53C53E" w:rsidR="004C5C82" w:rsidRPr="003234C5" w:rsidRDefault="004C5C82" w:rsidP="004C5C82">
            <w:pPr>
              <w:spacing w:after="0"/>
              <w:jc w:val="right"/>
              <w:rPr>
                <w:rFonts w:ascii="Arial" w:hAnsi="Arial" w:cs="Arial"/>
                <w:sz w:val="20"/>
                <w:szCs w:val="20"/>
              </w:rPr>
            </w:pPr>
            <w:r w:rsidRPr="003234C5">
              <w:rPr>
                <w:rFonts w:ascii="Arial" w:hAnsi="Arial" w:cs="Arial"/>
                <w:color w:val="000000"/>
                <w:sz w:val="20"/>
                <w:szCs w:val="20"/>
              </w:rPr>
              <w:t>316</w:t>
            </w:r>
          </w:p>
        </w:tc>
      </w:tr>
      <w:tr w:rsidR="004C5C82" w:rsidRPr="003234C5" w14:paraId="6C2A085C" w14:textId="77777777" w:rsidTr="009B7582">
        <w:trPr>
          <w:trHeight w:val="227"/>
          <w:jc w:val="center"/>
        </w:trPr>
        <w:tc>
          <w:tcPr>
            <w:tcW w:w="6941" w:type="dxa"/>
            <w:shd w:val="clear" w:color="auto" w:fill="C0C0C0"/>
            <w:vAlign w:val="center"/>
          </w:tcPr>
          <w:p w14:paraId="137A7891" w14:textId="77777777" w:rsidR="004C5C82" w:rsidRPr="003234C5" w:rsidRDefault="004C5C82" w:rsidP="004C5C8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134" w:type="dxa"/>
            <w:shd w:val="clear" w:color="auto" w:fill="C0C0C0"/>
            <w:vAlign w:val="center"/>
          </w:tcPr>
          <w:p w14:paraId="5C70180F" w14:textId="60B3E727" w:rsidR="004C5C82" w:rsidRPr="003234C5" w:rsidRDefault="0072303D" w:rsidP="004C5C82">
            <w:pPr>
              <w:spacing w:after="0"/>
              <w:jc w:val="right"/>
              <w:rPr>
                <w:rFonts w:ascii="Arial" w:hAnsi="Arial" w:cs="Arial"/>
                <w:b/>
                <w:sz w:val="20"/>
                <w:szCs w:val="20"/>
              </w:rPr>
            </w:pPr>
            <w:r>
              <w:rPr>
                <w:rFonts w:ascii="Arial" w:hAnsi="Arial" w:cs="Arial"/>
                <w:b/>
                <w:sz w:val="20"/>
                <w:szCs w:val="20"/>
              </w:rPr>
              <w:t>5.212</w:t>
            </w:r>
          </w:p>
        </w:tc>
        <w:tc>
          <w:tcPr>
            <w:tcW w:w="1006" w:type="dxa"/>
            <w:shd w:val="clear" w:color="auto" w:fill="C0C0C0"/>
            <w:vAlign w:val="center"/>
          </w:tcPr>
          <w:p w14:paraId="5357D8EE" w14:textId="1108126D" w:rsidR="004C5C82" w:rsidRPr="003234C5" w:rsidRDefault="004C5C82" w:rsidP="004C5C82">
            <w:pPr>
              <w:spacing w:after="0"/>
              <w:jc w:val="right"/>
              <w:rPr>
                <w:rFonts w:ascii="Arial" w:hAnsi="Arial" w:cs="Arial"/>
                <w:b/>
                <w:sz w:val="20"/>
                <w:szCs w:val="20"/>
              </w:rPr>
            </w:pPr>
            <w:r w:rsidRPr="003234C5">
              <w:rPr>
                <w:rFonts w:ascii="Arial" w:hAnsi="Arial" w:cs="Arial"/>
                <w:b/>
                <w:bCs/>
                <w:color w:val="000000"/>
                <w:sz w:val="20"/>
                <w:szCs w:val="20"/>
              </w:rPr>
              <w:t>10.736</w:t>
            </w:r>
          </w:p>
        </w:tc>
      </w:tr>
    </w:tbl>
    <w:p w14:paraId="238FB2D3" w14:textId="37EE04EC" w:rsidR="00E87A86" w:rsidRDefault="00E87A86" w:rsidP="00E87A86">
      <w:pPr>
        <w:widowControl w:val="0"/>
        <w:spacing w:after="0"/>
        <w:jc w:val="both"/>
        <w:rPr>
          <w:rFonts w:ascii="Arial" w:hAnsi="Arial" w:cs="Arial"/>
          <w:b/>
          <w:sz w:val="24"/>
          <w:szCs w:val="24"/>
        </w:rPr>
      </w:pPr>
    </w:p>
    <w:p w14:paraId="413FAE59" w14:textId="4310534A" w:rsidR="00C62487" w:rsidRDefault="00C62487" w:rsidP="00E87A86">
      <w:pPr>
        <w:widowControl w:val="0"/>
        <w:spacing w:after="0"/>
        <w:jc w:val="both"/>
        <w:rPr>
          <w:rFonts w:ascii="Arial" w:hAnsi="Arial" w:cs="Arial"/>
          <w:b/>
          <w:sz w:val="24"/>
          <w:szCs w:val="24"/>
        </w:rPr>
      </w:pPr>
    </w:p>
    <w:p w14:paraId="6458183F" w14:textId="77777777" w:rsidR="00C62487" w:rsidRPr="003234C5" w:rsidRDefault="00C62487" w:rsidP="00E87A86">
      <w:pPr>
        <w:widowControl w:val="0"/>
        <w:spacing w:after="0"/>
        <w:jc w:val="both"/>
        <w:rPr>
          <w:rFonts w:ascii="Arial" w:hAnsi="Arial" w:cs="Arial"/>
          <w:b/>
          <w:sz w:val="24"/>
          <w:szCs w:val="24"/>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936BB0" w:rsidRPr="003234C5" w14:paraId="6A75786D" w14:textId="77777777" w:rsidTr="007A4FD5">
        <w:trPr>
          <w:trHeight w:val="227"/>
          <w:jc w:val="center"/>
        </w:trPr>
        <w:tc>
          <w:tcPr>
            <w:tcW w:w="6941" w:type="dxa"/>
            <w:shd w:val="clear" w:color="auto" w:fill="C0C0C0"/>
            <w:vAlign w:val="center"/>
          </w:tcPr>
          <w:p w14:paraId="5ACC16CD" w14:textId="77777777" w:rsidR="00936BB0" w:rsidRPr="003234C5" w:rsidRDefault="00936BB0" w:rsidP="00936BB0">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–NÃO CIRCULANTE</w:t>
            </w:r>
          </w:p>
        </w:tc>
        <w:tc>
          <w:tcPr>
            <w:tcW w:w="1134" w:type="dxa"/>
            <w:shd w:val="clear" w:color="auto" w:fill="C0C0C0"/>
            <w:vAlign w:val="bottom"/>
          </w:tcPr>
          <w:p w14:paraId="6293A19E" w14:textId="416C7462" w:rsidR="00936BB0" w:rsidRPr="003234C5" w:rsidRDefault="00C6257E" w:rsidP="00936BB0">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006" w:type="dxa"/>
            <w:shd w:val="clear" w:color="auto" w:fill="C0C0C0"/>
            <w:vAlign w:val="bottom"/>
          </w:tcPr>
          <w:p w14:paraId="54AC20DC" w14:textId="18B52F56" w:rsidR="00936BB0" w:rsidRPr="003234C5" w:rsidRDefault="00C6257E" w:rsidP="00936BB0">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4C5C82" w:rsidRPr="003234C5" w14:paraId="7AC683BC" w14:textId="77777777" w:rsidTr="007A4FD5">
        <w:trPr>
          <w:trHeight w:val="227"/>
          <w:jc w:val="center"/>
        </w:trPr>
        <w:tc>
          <w:tcPr>
            <w:tcW w:w="6941" w:type="dxa"/>
            <w:shd w:val="clear" w:color="auto" w:fill="FFFFFF"/>
          </w:tcPr>
          <w:p w14:paraId="3799EC01" w14:textId="77777777" w:rsidR="004C5C82" w:rsidRPr="003234C5" w:rsidRDefault="004C5C82" w:rsidP="004C5C82">
            <w:pPr>
              <w:autoSpaceDE w:val="0"/>
              <w:autoSpaceDN w:val="0"/>
              <w:adjustRightInd w:val="0"/>
              <w:spacing w:after="0"/>
              <w:jc w:val="both"/>
              <w:rPr>
                <w:rFonts w:ascii="Arial" w:hAnsi="Arial" w:cs="Arial"/>
                <w:sz w:val="20"/>
                <w:szCs w:val="20"/>
              </w:rPr>
            </w:pPr>
            <w:bookmarkStart w:id="31" w:name="OLE_LINK196"/>
            <w:bookmarkStart w:id="32" w:name="OLE_LINK197"/>
            <w:bookmarkStart w:id="33" w:name="OLE_LINK198"/>
            <w:bookmarkStart w:id="34" w:name="_Hlk506329673"/>
            <w:bookmarkStart w:id="35" w:name="_Hlk506329400"/>
            <w:r w:rsidRPr="003234C5">
              <w:rPr>
                <w:rFonts w:ascii="Arial" w:hAnsi="Arial" w:cs="Arial"/>
                <w:sz w:val="20"/>
                <w:szCs w:val="20"/>
              </w:rPr>
              <w:t xml:space="preserve">Contrato </w:t>
            </w:r>
            <w:proofErr w:type="spellStart"/>
            <w:r w:rsidRPr="003234C5">
              <w:rPr>
                <w:rFonts w:ascii="Arial" w:hAnsi="Arial" w:cs="Arial"/>
                <w:sz w:val="20"/>
                <w:szCs w:val="20"/>
              </w:rPr>
              <w:t>Termofortaleza</w:t>
            </w:r>
            <w:proofErr w:type="spellEnd"/>
            <w:r w:rsidRPr="003234C5">
              <w:rPr>
                <w:rFonts w:ascii="Arial" w:hAnsi="Arial" w:cs="Arial"/>
                <w:sz w:val="20"/>
                <w:szCs w:val="20"/>
              </w:rPr>
              <w:t xml:space="preserve"> – Compromisso de Retirada de gás</w:t>
            </w:r>
            <w:bookmarkEnd w:id="31"/>
            <w:bookmarkEnd w:id="32"/>
            <w:bookmarkEnd w:id="33"/>
            <w:r w:rsidRPr="003234C5">
              <w:rPr>
                <w:rFonts w:ascii="Arial" w:hAnsi="Arial" w:cs="Arial"/>
                <w:sz w:val="20"/>
                <w:szCs w:val="20"/>
              </w:rPr>
              <w:t xml:space="preserve"> (</w:t>
            </w:r>
            <w:proofErr w:type="spellStart"/>
            <w:r w:rsidRPr="003234C5">
              <w:rPr>
                <w:rFonts w:ascii="Arial" w:hAnsi="Arial" w:cs="Arial"/>
                <w:sz w:val="20"/>
                <w:szCs w:val="20"/>
              </w:rPr>
              <w:t>iii</w:t>
            </w:r>
            <w:proofErr w:type="spellEnd"/>
            <w:r w:rsidRPr="003234C5">
              <w:rPr>
                <w:rFonts w:ascii="Arial" w:hAnsi="Arial" w:cs="Arial"/>
                <w:sz w:val="20"/>
                <w:szCs w:val="20"/>
              </w:rPr>
              <w:t>)</w:t>
            </w:r>
          </w:p>
        </w:tc>
        <w:tc>
          <w:tcPr>
            <w:tcW w:w="1134" w:type="dxa"/>
            <w:shd w:val="clear" w:color="auto" w:fill="FFFFFF"/>
            <w:vAlign w:val="center"/>
          </w:tcPr>
          <w:p w14:paraId="26FFA640" w14:textId="62C68EB2" w:rsidR="004C5C82" w:rsidRPr="003234C5" w:rsidRDefault="0072303D" w:rsidP="004C5C82">
            <w:pPr>
              <w:spacing w:after="0"/>
              <w:jc w:val="right"/>
              <w:rPr>
                <w:rFonts w:ascii="Arial" w:hAnsi="Arial" w:cs="Arial"/>
                <w:sz w:val="20"/>
                <w:szCs w:val="20"/>
              </w:rPr>
            </w:pPr>
            <w:r>
              <w:rPr>
                <w:rFonts w:ascii="Arial" w:hAnsi="Arial" w:cs="Arial"/>
                <w:sz w:val="20"/>
                <w:szCs w:val="20"/>
              </w:rPr>
              <w:t>40.472</w:t>
            </w:r>
          </w:p>
        </w:tc>
        <w:tc>
          <w:tcPr>
            <w:tcW w:w="1006" w:type="dxa"/>
            <w:shd w:val="clear" w:color="auto" w:fill="FFFFFF"/>
            <w:vAlign w:val="center"/>
          </w:tcPr>
          <w:p w14:paraId="3899AE75" w14:textId="74877235" w:rsidR="004C5C82" w:rsidRPr="003234C5" w:rsidRDefault="004C5C82" w:rsidP="004C5C82">
            <w:pPr>
              <w:autoSpaceDE w:val="0"/>
              <w:autoSpaceDN w:val="0"/>
              <w:adjustRightInd w:val="0"/>
              <w:spacing w:after="0"/>
              <w:jc w:val="right"/>
              <w:rPr>
                <w:rFonts w:ascii="Arial" w:hAnsi="Arial" w:cs="Arial"/>
                <w:sz w:val="20"/>
                <w:szCs w:val="20"/>
              </w:rPr>
            </w:pPr>
            <w:r w:rsidRPr="003234C5">
              <w:rPr>
                <w:rFonts w:ascii="Arial" w:hAnsi="Arial" w:cs="Arial"/>
                <w:color w:val="000000"/>
                <w:sz w:val="20"/>
                <w:szCs w:val="20"/>
              </w:rPr>
              <w:t>17.684</w:t>
            </w:r>
          </w:p>
        </w:tc>
      </w:tr>
      <w:tr w:rsidR="004C5C82" w:rsidRPr="003234C5" w14:paraId="0A4125F6" w14:textId="77777777" w:rsidTr="007A4FD5">
        <w:trPr>
          <w:trHeight w:val="227"/>
          <w:jc w:val="center"/>
        </w:trPr>
        <w:tc>
          <w:tcPr>
            <w:tcW w:w="6941" w:type="dxa"/>
            <w:shd w:val="clear" w:color="auto" w:fill="FFFFFF"/>
          </w:tcPr>
          <w:p w14:paraId="2CB8BD35" w14:textId="77777777" w:rsidR="004C5C82" w:rsidRPr="003234C5" w:rsidRDefault="004C5C82" w:rsidP="004C5C82">
            <w:pPr>
              <w:autoSpaceDE w:val="0"/>
              <w:autoSpaceDN w:val="0"/>
              <w:adjustRightInd w:val="0"/>
              <w:spacing w:after="0"/>
              <w:jc w:val="both"/>
              <w:rPr>
                <w:rFonts w:ascii="Arial" w:hAnsi="Arial" w:cs="Arial"/>
                <w:sz w:val="20"/>
                <w:szCs w:val="20"/>
              </w:rPr>
            </w:pPr>
            <w:r w:rsidRPr="003234C5">
              <w:rPr>
                <w:rFonts w:ascii="Arial" w:hAnsi="Arial" w:cs="Arial"/>
                <w:sz w:val="20"/>
                <w:szCs w:val="20"/>
              </w:rPr>
              <w:t xml:space="preserve">Contrato </w:t>
            </w:r>
            <w:proofErr w:type="spellStart"/>
            <w:r w:rsidRPr="003234C5">
              <w:rPr>
                <w:rFonts w:ascii="Arial" w:hAnsi="Arial" w:cs="Arial"/>
                <w:sz w:val="20"/>
                <w:szCs w:val="20"/>
              </w:rPr>
              <w:t>Termofortaleza</w:t>
            </w:r>
            <w:proofErr w:type="spellEnd"/>
            <w:r w:rsidRPr="003234C5">
              <w:rPr>
                <w:rFonts w:ascii="Arial" w:hAnsi="Arial" w:cs="Arial"/>
                <w:sz w:val="20"/>
                <w:szCs w:val="20"/>
              </w:rPr>
              <w:t xml:space="preserve"> – Compromisso de Retirada de gás (Variação Preço) (</w:t>
            </w:r>
            <w:proofErr w:type="spellStart"/>
            <w:r w:rsidRPr="003234C5">
              <w:rPr>
                <w:rFonts w:ascii="Arial" w:hAnsi="Arial" w:cs="Arial"/>
                <w:sz w:val="20"/>
                <w:szCs w:val="20"/>
              </w:rPr>
              <w:t>iii</w:t>
            </w:r>
            <w:proofErr w:type="spellEnd"/>
            <w:r w:rsidRPr="003234C5">
              <w:rPr>
                <w:rFonts w:ascii="Arial" w:hAnsi="Arial" w:cs="Arial"/>
                <w:sz w:val="20"/>
                <w:szCs w:val="20"/>
              </w:rPr>
              <w:t>)</w:t>
            </w:r>
          </w:p>
        </w:tc>
        <w:tc>
          <w:tcPr>
            <w:tcW w:w="1134" w:type="dxa"/>
            <w:shd w:val="clear" w:color="auto" w:fill="FFFFFF"/>
            <w:vAlign w:val="center"/>
          </w:tcPr>
          <w:p w14:paraId="463F621C" w14:textId="13135D92" w:rsidR="004C5C82" w:rsidRPr="003234C5" w:rsidRDefault="00B363A3" w:rsidP="004C5C82">
            <w:pPr>
              <w:spacing w:after="0"/>
              <w:jc w:val="right"/>
              <w:rPr>
                <w:rFonts w:ascii="Arial" w:hAnsi="Arial" w:cs="Arial"/>
                <w:sz w:val="20"/>
                <w:szCs w:val="20"/>
              </w:rPr>
            </w:pPr>
            <w:r>
              <w:rPr>
                <w:rFonts w:ascii="Arial" w:hAnsi="Arial" w:cs="Arial"/>
                <w:sz w:val="20"/>
                <w:szCs w:val="20"/>
              </w:rPr>
              <w:t>3.710</w:t>
            </w:r>
          </w:p>
        </w:tc>
        <w:tc>
          <w:tcPr>
            <w:tcW w:w="1006" w:type="dxa"/>
            <w:shd w:val="clear" w:color="auto" w:fill="FFFFFF"/>
            <w:vAlign w:val="center"/>
          </w:tcPr>
          <w:p w14:paraId="08A3AD6F" w14:textId="7F06E6EB" w:rsidR="004C5C82" w:rsidRPr="003234C5" w:rsidRDefault="004C5C82" w:rsidP="004C5C82">
            <w:pPr>
              <w:autoSpaceDE w:val="0"/>
              <w:autoSpaceDN w:val="0"/>
              <w:adjustRightInd w:val="0"/>
              <w:spacing w:after="0"/>
              <w:jc w:val="right"/>
              <w:rPr>
                <w:rFonts w:ascii="Arial" w:hAnsi="Arial" w:cs="Arial"/>
                <w:sz w:val="20"/>
                <w:szCs w:val="20"/>
              </w:rPr>
            </w:pPr>
            <w:r w:rsidRPr="003234C5">
              <w:rPr>
                <w:rFonts w:ascii="Arial" w:hAnsi="Arial" w:cs="Arial"/>
                <w:color w:val="000000"/>
                <w:sz w:val="20"/>
                <w:szCs w:val="20"/>
              </w:rPr>
              <w:t>10.716</w:t>
            </w:r>
          </w:p>
        </w:tc>
      </w:tr>
      <w:tr w:rsidR="00B363A3" w:rsidRPr="003234C5" w14:paraId="64FDB004" w14:textId="77777777" w:rsidTr="007A4FD5">
        <w:trPr>
          <w:trHeight w:val="227"/>
          <w:jc w:val="center"/>
        </w:trPr>
        <w:tc>
          <w:tcPr>
            <w:tcW w:w="6941" w:type="dxa"/>
            <w:shd w:val="clear" w:color="auto" w:fill="FFFFFF"/>
          </w:tcPr>
          <w:p w14:paraId="4F12FCEE" w14:textId="5542D95F" w:rsidR="00B363A3" w:rsidRPr="003234C5" w:rsidRDefault="00B363A3" w:rsidP="004C5C82">
            <w:pPr>
              <w:autoSpaceDE w:val="0"/>
              <w:autoSpaceDN w:val="0"/>
              <w:adjustRightInd w:val="0"/>
              <w:spacing w:after="0"/>
              <w:jc w:val="both"/>
              <w:rPr>
                <w:rFonts w:ascii="Arial" w:hAnsi="Arial" w:cs="Arial"/>
                <w:sz w:val="20"/>
                <w:szCs w:val="20"/>
              </w:rPr>
            </w:pPr>
            <w:r w:rsidRPr="00B363A3">
              <w:rPr>
                <w:rFonts w:ascii="Arial" w:hAnsi="Arial" w:cs="Arial"/>
                <w:sz w:val="20"/>
                <w:szCs w:val="20"/>
              </w:rPr>
              <w:t xml:space="preserve">Contrato </w:t>
            </w:r>
            <w:proofErr w:type="spellStart"/>
            <w:r w:rsidRPr="00B363A3">
              <w:rPr>
                <w:rFonts w:ascii="Arial" w:hAnsi="Arial" w:cs="Arial"/>
                <w:sz w:val="20"/>
                <w:szCs w:val="20"/>
              </w:rPr>
              <w:t>Termofortaleza</w:t>
            </w:r>
            <w:proofErr w:type="spellEnd"/>
            <w:r w:rsidRPr="00B363A3">
              <w:rPr>
                <w:rFonts w:ascii="Arial" w:hAnsi="Arial" w:cs="Arial"/>
                <w:sz w:val="20"/>
                <w:szCs w:val="20"/>
              </w:rPr>
              <w:t xml:space="preserve"> – Margem SOP</w:t>
            </w:r>
          </w:p>
        </w:tc>
        <w:tc>
          <w:tcPr>
            <w:tcW w:w="1134" w:type="dxa"/>
            <w:shd w:val="clear" w:color="auto" w:fill="FFFFFF"/>
            <w:vAlign w:val="center"/>
          </w:tcPr>
          <w:p w14:paraId="267E0C68" w14:textId="2F2E079B" w:rsidR="00B363A3" w:rsidRDefault="00B363A3" w:rsidP="004C5C82">
            <w:pPr>
              <w:spacing w:after="0"/>
              <w:jc w:val="right"/>
              <w:rPr>
                <w:rFonts w:ascii="Arial" w:hAnsi="Arial" w:cs="Arial"/>
                <w:sz w:val="20"/>
                <w:szCs w:val="20"/>
              </w:rPr>
            </w:pPr>
            <w:r>
              <w:rPr>
                <w:rFonts w:ascii="Arial" w:hAnsi="Arial" w:cs="Arial"/>
                <w:sz w:val="20"/>
                <w:szCs w:val="20"/>
              </w:rPr>
              <w:t>90</w:t>
            </w:r>
          </w:p>
        </w:tc>
        <w:tc>
          <w:tcPr>
            <w:tcW w:w="1006" w:type="dxa"/>
            <w:shd w:val="clear" w:color="auto" w:fill="FFFFFF"/>
            <w:vAlign w:val="center"/>
          </w:tcPr>
          <w:p w14:paraId="4CAEB25E" w14:textId="534A9F51" w:rsidR="00B363A3" w:rsidRPr="003234C5" w:rsidRDefault="004C32BB" w:rsidP="008C71D1">
            <w:pPr>
              <w:autoSpaceDE w:val="0"/>
              <w:autoSpaceDN w:val="0"/>
              <w:adjustRightInd w:val="0"/>
              <w:spacing w:after="0"/>
              <w:jc w:val="center"/>
              <w:rPr>
                <w:rFonts w:ascii="Arial" w:hAnsi="Arial" w:cs="Arial"/>
                <w:color w:val="000000"/>
                <w:sz w:val="20"/>
                <w:szCs w:val="20"/>
              </w:rPr>
            </w:pPr>
            <w:r>
              <w:rPr>
                <w:rFonts w:ascii="Arial" w:hAnsi="Arial" w:cs="Arial"/>
                <w:color w:val="000000"/>
                <w:sz w:val="20"/>
                <w:szCs w:val="20"/>
              </w:rPr>
              <w:t>-</w:t>
            </w:r>
          </w:p>
        </w:tc>
      </w:tr>
      <w:bookmarkEnd w:id="34"/>
      <w:tr w:rsidR="00620790" w:rsidRPr="003234C5" w14:paraId="235CC7E4" w14:textId="77777777" w:rsidTr="007A4FD5">
        <w:trPr>
          <w:trHeight w:val="227"/>
          <w:jc w:val="center"/>
        </w:trPr>
        <w:tc>
          <w:tcPr>
            <w:tcW w:w="6941" w:type="dxa"/>
            <w:shd w:val="clear" w:color="auto" w:fill="FFFFFF"/>
          </w:tcPr>
          <w:p w14:paraId="005A0F69" w14:textId="36C69874" w:rsidR="00620790" w:rsidRPr="003234C5" w:rsidRDefault="00620790" w:rsidP="00620790">
            <w:pPr>
              <w:autoSpaceDE w:val="0"/>
              <w:autoSpaceDN w:val="0"/>
              <w:adjustRightInd w:val="0"/>
              <w:spacing w:after="0"/>
              <w:jc w:val="both"/>
              <w:rPr>
                <w:rFonts w:ascii="Arial" w:hAnsi="Arial" w:cs="Arial"/>
                <w:sz w:val="20"/>
                <w:szCs w:val="20"/>
              </w:rPr>
            </w:pPr>
            <w:r w:rsidRPr="003234C5">
              <w:rPr>
                <w:rFonts w:ascii="Arial" w:hAnsi="Arial" w:cs="Arial"/>
                <w:sz w:val="20"/>
                <w:szCs w:val="20"/>
              </w:rPr>
              <w:t>Outros Adiantamentos – Cláusula Contratual (</w:t>
            </w:r>
            <w:proofErr w:type="spellStart"/>
            <w:r w:rsidR="00A13112" w:rsidRPr="003234C5">
              <w:rPr>
                <w:rFonts w:ascii="Arial" w:hAnsi="Arial" w:cs="Arial"/>
                <w:sz w:val="20"/>
                <w:szCs w:val="20"/>
              </w:rPr>
              <w:t>i</w:t>
            </w:r>
            <w:r w:rsidRPr="003234C5">
              <w:rPr>
                <w:rFonts w:ascii="Arial" w:hAnsi="Arial" w:cs="Arial"/>
                <w:sz w:val="20"/>
                <w:szCs w:val="20"/>
              </w:rPr>
              <w:t>v</w:t>
            </w:r>
            <w:proofErr w:type="spellEnd"/>
            <w:r w:rsidRPr="003234C5">
              <w:rPr>
                <w:rFonts w:ascii="Arial" w:hAnsi="Arial" w:cs="Arial"/>
                <w:sz w:val="20"/>
                <w:szCs w:val="20"/>
              </w:rPr>
              <w:t>)</w:t>
            </w:r>
          </w:p>
        </w:tc>
        <w:tc>
          <w:tcPr>
            <w:tcW w:w="1134" w:type="dxa"/>
            <w:shd w:val="clear" w:color="auto" w:fill="FFFFFF"/>
            <w:vAlign w:val="center"/>
          </w:tcPr>
          <w:p w14:paraId="1A0DD5BC" w14:textId="1483A297" w:rsidR="00620790" w:rsidRPr="003234C5" w:rsidRDefault="00B363A3" w:rsidP="00620790">
            <w:pPr>
              <w:spacing w:after="0"/>
              <w:jc w:val="right"/>
              <w:rPr>
                <w:rFonts w:ascii="Arial" w:hAnsi="Arial" w:cs="Arial"/>
                <w:sz w:val="20"/>
                <w:szCs w:val="20"/>
              </w:rPr>
            </w:pPr>
            <w:r>
              <w:rPr>
                <w:rFonts w:ascii="Arial" w:hAnsi="Arial" w:cs="Arial"/>
                <w:sz w:val="20"/>
                <w:szCs w:val="20"/>
              </w:rPr>
              <w:t>35.877</w:t>
            </w:r>
          </w:p>
        </w:tc>
        <w:tc>
          <w:tcPr>
            <w:tcW w:w="1006" w:type="dxa"/>
            <w:shd w:val="clear" w:color="auto" w:fill="FFFFFF"/>
            <w:vAlign w:val="center"/>
          </w:tcPr>
          <w:p w14:paraId="1FCD55AE" w14:textId="7CAB1F4D" w:rsidR="00620790" w:rsidRPr="003234C5" w:rsidRDefault="00620790" w:rsidP="00620790">
            <w:pPr>
              <w:autoSpaceDE w:val="0"/>
              <w:autoSpaceDN w:val="0"/>
              <w:adjustRightInd w:val="0"/>
              <w:spacing w:after="0"/>
              <w:jc w:val="right"/>
              <w:rPr>
                <w:rFonts w:ascii="Arial" w:hAnsi="Arial" w:cs="Arial"/>
                <w:sz w:val="20"/>
                <w:szCs w:val="20"/>
              </w:rPr>
            </w:pPr>
            <w:r w:rsidRPr="003234C5">
              <w:rPr>
                <w:rFonts w:ascii="Arial" w:hAnsi="Arial" w:cs="Arial"/>
                <w:color w:val="000000"/>
                <w:sz w:val="20"/>
                <w:szCs w:val="20"/>
              </w:rPr>
              <w:t>25.205</w:t>
            </w:r>
          </w:p>
        </w:tc>
      </w:tr>
      <w:bookmarkEnd w:id="35"/>
      <w:tr w:rsidR="00620790" w:rsidRPr="003234C5" w14:paraId="15C5A444" w14:textId="77777777" w:rsidTr="007A4FD5">
        <w:trPr>
          <w:trHeight w:val="227"/>
          <w:jc w:val="center"/>
        </w:trPr>
        <w:tc>
          <w:tcPr>
            <w:tcW w:w="6941" w:type="dxa"/>
            <w:shd w:val="clear" w:color="auto" w:fill="C0C0C0"/>
            <w:vAlign w:val="center"/>
          </w:tcPr>
          <w:p w14:paraId="396D2D0D" w14:textId="77777777" w:rsidR="00620790" w:rsidRPr="003234C5" w:rsidRDefault="00620790" w:rsidP="00620790">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134" w:type="dxa"/>
            <w:shd w:val="clear" w:color="auto" w:fill="C0C0C0"/>
            <w:vAlign w:val="center"/>
          </w:tcPr>
          <w:p w14:paraId="2C66208B" w14:textId="04CA16BD" w:rsidR="00620790" w:rsidRPr="003234C5" w:rsidRDefault="00245986" w:rsidP="00245986">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 xml:space="preserve">   </w:t>
            </w:r>
            <w:r w:rsidR="007C3504">
              <w:rPr>
                <w:rFonts w:ascii="Arial" w:eastAsia="Times New Roman" w:hAnsi="Arial" w:cs="Arial"/>
                <w:b/>
                <w:bCs/>
                <w:color w:val="000000"/>
                <w:kern w:val="0"/>
                <w:sz w:val="20"/>
                <w:szCs w:val="20"/>
                <w:lang w:eastAsia="pt-BR"/>
              </w:rPr>
              <w:t>80.149</w:t>
            </w:r>
          </w:p>
        </w:tc>
        <w:tc>
          <w:tcPr>
            <w:tcW w:w="1006" w:type="dxa"/>
            <w:shd w:val="clear" w:color="auto" w:fill="C0C0C0"/>
            <w:vAlign w:val="center"/>
          </w:tcPr>
          <w:p w14:paraId="64FB3FA6" w14:textId="0D97BC15" w:rsidR="00620790" w:rsidRPr="003234C5" w:rsidRDefault="00620790" w:rsidP="00620790">
            <w:pPr>
              <w:spacing w:after="0"/>
              <w:jc w:val="right"/>
              <w:rPr>
                <w:rFonts w:ascii="Arial" w:hAnsi="Arial" w:cs="Arial"/>
                <w:b/>
                <w:sz w:val="20"/>
                <w:szCs w:val="20"/>
              </w:rPr>
            </w:pPr>
            <w:r w:rsidRPr="003234C5">
              <w:rPr>
                <w:rFonts w:ascii="Arial" w:hAnsi="Arial" w:cs="Arial"/>
                <w:b/>
                <w:bCs/>
                <w:color w:val="000000"/>
                <w:sz w:val="20"/>
                <w:szCs w:val="20"/>
              </w:rPr>
              <w:t>53.605</w:t>
            </w:r>
          </w:p>
        </w:tc>
      </w:tr>
    </w:tbl>
    <w:p w14:paraId="0AC62924" w14:textId="77777777" w:rsidR="00F55F52" w:rsidRDefault="00F55F52" w:rsidP="00E87A86">
      <w:pPr>
        <w:autoSpaceDE w:val="0"/>
        <w:autoSpaceDN w:val="0"/>
        <w:adjustRightInd w:val="0"/>
        <w:jc w:val="both"/>
        <w:rPr>
          <w:rFonts w:ascii="Arial" w:hAnsi="Arial" w:cs="Arial"/>
        </w:rPr>
      </w:pPr>
    </w:p>
    <w:p w14:paraId="36BD8B8A" w14:textId="140123C6" w:rsidR="00E87A86" w:rsidRPr="003234C5" w:rsidRDefault="00E87A86" w:rsidP="00E87A86">
      <w:pPr>
        <w:autoSpaceDE w:val="0"/>
        <w:autoSpaceDN w:val="0"/>
        <w:adjustRightInd w:val="0"/>
        <w:jc w:val="both"/>
        <w:rPr>
          <w:rFonts w:ascii="Arial" w:hAnsi="Arial" w:cs="Arial"/>
        </w:rPr>
      </w:pPr>
      <w:r w:rsidRPr="003234C5">
        <w:rPr>
          <w:rFonts w:ascii="Arial" w:hAnsi="Arial" w:cs="Arial"/>
        </w:rPr>
        <w:t>Os valores registrados nestas rubricas referem-se a:</w:t>
      </w:r>
    </w:p>
    <w:p w14:paraId="209EF896" w14:textId="6B68ABB1" w:rsidR="00E87A86" w:rsidRPr="00C717A8" w:rsidRDefault="00E87A86" w:rsidP="00E87A86">
      <w:pPr>
        <w:autoSpaceDE w:val="0"/>
        <w:autoSpaceDN w:val="0"/>
        <w:adjustRightInd w:val="0"/>
        <w:jc w:val="both"/>
        <w:rPr>
          <w:rFonts w:ascii="Arial" w:hAnsi="Arial" w:cs="Arial"/>
        </w:rPr>
      </w:pPr>
      <w:r w:rsidRPr="00C717A8">
        <w:rPr>
          <w:rFonts w:ascii="Arial" w:hAnsi="Arial" w:cs="Arial"/>
        </w:rPr>
        <w:t xml:space="preserve">i) R$ </w:t>
      </w:r>
      <w:r w:rsidR="000C5D31" w:rsidRPr="00C717A8">
        <w:rPr>
          <w:rFonts w:ascii="Arial" w:hAnsi="Arial" w:cs="Arial"/>
        </w:rPr>
        <w:t>5</w:t>
      </w:r>
      <w:r w:rsidR="004C5C82" w:rsidRPr="00C717A8">
        <w:rPr>
          <w:rFonts w:ascii="Arial" w:hAnsi="Arial" w:cs="Arial"/>
        </w:rPr>
        <w:t>.</w:t>
      </w:r>
      <w:r w:rsidR="000C5D31" w:rsidRPr="00C717A8">
        <w:rPr>
          <w:rFonts w:ascii="Arial" w:hAnsi="Arial" w:cs="Arial"/>
        </w:rPr>
        <w:t>122</w:t>
      </w:r>
      <w:r w:rsidRPr="00C717A8">
        <w:rPr>
          <w:rFonts w:ascii="Arial" w:hAnsi="Arial" w:cs="Arial"/>
        </w:rPr>
        <w:t xml:space="preserve"> refere-se a adiantamento dos clientes de valores correspondente ao cumprimento da cláusula contratual de compromisso firme de retirada de gás; </w:t>
      </w:r>
    </w:p>
    <w:p w14:paraId="0DB368F6" w14:textId="01058DA8" w:rsidR="00E87A86" w:rsidRPr="00C717A8" w:rsidRDefault="00E87A86" w:rsidP="00E87A86">
      <w:pPr>
        <w:widowControl w:val="0"/>
        <w:ind w:right="50"/>
        <w:jc w:val="both"/>
        <w:rPr>
          <w:rFonts w:ascii="Arial" w:hAnsi="Arial" w:cs="Arial"/>
        </w:rPr>
      </w:pPr>
      <w:proofErr w:type="spellStart"/>
      <w:r w:rsidRPr="00C717A8">
        <w:rPr>
          <w:rFonts w:ascii="Arial" w:hAnsi="Arial" w:cs="Arial"/>
        </w:rPr>
        <w:t>ii</w:t>
      </w:r>
      <w:proofErr w:type="spellEnd"/>
      <w:r w:rsidRPr="00C717A8">
        <w:rPr>
          <w:rFonts w:ascii="Arial" w:hAnsi="Arial" w:cs="Arial"/>
        </w:rPr>
        <w:t xml:space="preserve">) R$ </w:t>
      </w:r>
      <w:r w:rsidR="00DD118C" w:rsidRPr="00C717A8">
        <w:rPr>
          <w:rFonts w:ascii="Arial" w:hAnsi="Arial" w:cs="Arial"/>
        </w:rPr>
        <w:t>90</w:t>
      </w:r>
      <w:r w:rsidRPr="00C717A8">
        <w:rPr>
          <w:rFonts w:ascii="Arial" w:hAnsi="Arial" w:cs="Arial"/>
        </w:rPr>
        <w:t xml:space="preserve"> refere-se a cauções de clientes para cobrir possíveis inadimplência</w:t>
      </w:r>
      <w:r w:rsidR="002117E3" w:rsidRPr="00C717A8">
        <w:rPr>
          <w:rFonts w:ascii="Arial" w:hAnsi="Arial" w:cs="Arial"/>
        </w:rPr>
        <w:t>s</w:t>
      </w:r>
      <w:r w:rsidRPr="00C717A8">
        <w:rPr>
          <w:rFonts w:ascii="Arial" w:hAnsi="Arial" w:cs="Arial"/>
        </w:rPr>
        <w:t xml:space="preserve"> no pagamento das faturas de gás;</w:t>
      </w:r>
    </w:p>
    <w:p w14:paraId="36CE705F" w14:textId="7AB7B318" w:rsidR="00E87A86" w:rsidRPr="003234C5" w:rsidRDefault="00E87A86" w:rsidP="00E87A86">
      <w:pPr>
        <w:autoSpaceDE w:val="0"/>
        <w:autoSpaceDN w:val="0"/>
        <w:adjustRightInd w:val="0"/>
        <w:jc w:val="both"/>
        <w:rPr>
          <w:rFonts w:ascii="Arial" w:hAnsi="Arial" w:cs="Arial"/>
        </w:rPr>
      </w:pPr>
      <w:proofErr w:type="spellStart"/>
      <w:r w:rsidRPr="00EB3A98">
        <w:rPr>
          <w:rFonts w:ascii="Arial" w:hAnsi="Arial" w:cs="Arial"/>
        </w:rPr>
        <w:t>iii</w:t>
      </w:r>
      <w:proofErr w:type="spellEnd"/>
      <w:r w:rsidRPr="00EB3A98">
        <w:rPr>
          <w:rFonts w:ascii="Arial" w:hAnsi="Arial" w:cs="Arial"/>
        </w:rPr>
        <w:t xml:space="preserve">) R$ </w:t>
      </w:r>
      <w:r w:rsidR="00C50FCF" w:rsidRPr="00EB3A98">
        <w:rPr>
          <w:rFonts w:ascii="Arial" w:hAnsi="Arial" w:cs="Arial"/>
        </w:rPr>
        <w:t>40.472</w:t>
      </w:r>
      <w:r w:rsidRPr="00EB3A98">
        <w:rPr>
          <w:rFonts w:ascii="Arial" w:hAnsi="Arial" w:cs="Arial"/>
        </w:rPr>
        <w:t xml:space="preserve"> refere-se ao cumprimento da cláusula contratual de compromisso firme de retirada de gás emitido contra o cliente </w:t>
      </w:r>
      <w:proofErr w:type="spellStart"/>
      <w:r w:rsidRPr="00EB3A98">
        <w:rPr>
          <w:rFonts w:ascii="Arial" w:hAnsi="Arial" w:cs="Arial"/>
        </w:rPr>
        <w:t>Termofortaleza</w:t>
      </w:r>
      <w:proofErr w:type="spellEnd"/>
      <w:r w:rsidRPr="00EB3A98">
        <w:rPr>
          <w:rFonts w:ascii="Arial" w:hAnsi="Arial" w:cs="Arial"/>
        </w:rPr>
        <w:t xml:space="preserve">, sendo </w:t>
      </w:r>
      <w:r w:rsidR="004C5C82" w:rsidRPr="00EB3A98">
        <w:rPr>
          <w:rFonts w:ascii="Arial" w:hAnsi="Arial" w:cs="Arial"/>
        </w:rPr>
        <w:t>R</w:t>
      </w:r>
      <w:r w:rsidR="00620790" w:rsidRPr="00EB3A98">
        <w:rPr>
          <w:rFonts w:ascii="Arial" w:hAnsi="Arial" w:cs="Arial"/>
        </w:rPr>
        <w:t xml:space="preserve">$ </w:t>
      </w:r>
      <w:r w:rsidR="00F23A7B" w:rsidRPr="00EB3A98">
        <w:rPr>
          <w:rFonts w:ascii="Arial" w:hAnsi="Arial" w:cs="Arial"/>
        </w:rPr>
        <w:t>35.134</w:t>
      </w:r>
      <w:r w:rsidR="00620790" w:rsidRPr="00EB3A98">
        <w:rPr>
          <w:rFonts w:ascii="Arial" w:hAnsi="Arial" w:cs="Arial"/>
        </w:rPr>
        <w:t xml:space="preserve">, acrescida da margem de comercialização da CEGÁS no valor R$ </w:t>
      </w:r>
      <w:r w:rsidR="00F23A7B" w:rsidRPr="00EB3A98">
        <w:rPr>
          <w:rFonts w:ascii="Arial" w:hAnsi="Arial" w:cs="Arial"/>
        </w:rPr>
        <w:t>5.338</w:t>
      </w:r>
      <w:r w:rsidR="00620790" w:rsidRPr="00EB3A98">
        <w:rPr>
          <w:rFonts w:ascii="Arial" w:hAnsi="Arial" w:cs="Arial"/>
        </w:rPr>
        <w:t xml:space="preserve"> e da atualização por variação de preço do gás no montante de R$ </w:t>
      </w:r>
      <w:r w:rsidR="00EB3A98" w:rsidRPr="00EB3A98">
        <w:rPr>
          <w:rFonts w:ascii="Arial" w:hAnsi="Arial" w:cs="Arial"/>
        </w:rPr>
        <w:t>3.710</w:t>
      </w:r>
      <w:r w:rsidR="00620790" w:rsidRPr="00EB3A98">
        <w:rPr>
          <w:rFonts w:ascii="Arial" w:hAnsi="Arial" w:cs="Arial"/>
        </w:rPr>
        <w:t xml:space="preserve">, configurando um valor a ser realizado no futuro de R$ </w:t>
      </w:r>
      <w:r w:rsidR="00EB3A98" w:rsidRPr="00EB3A98">
        <w:rPr>
          <w:rFonts w:ascii="Arial" w:hAnsi="Arial" w:cs="Arial"/>
        </w:rPr>
        <w:t>44</w:t>
      </w:r>
      <w:r w:rsidR="004C5C82" w:rsidRPr="00EB3A98">
        <w:rPr>
          <w:rFonts w:ascii="Arial" w:hAnsi="Arial" w:cs="Arial"/>
        </w:rPr>
        <w:t>.</w:t>
      </w:r>
      <w:r w:rsidR="00EB3A98" w:rsidRPr="00EB3A98">
        <w:rPr>
          <w:rFonts w:ascii="Arial" w:hAnsi="Arial" w:cs="Arial"/>
        </w:rPr>
        <w:t>182</w:t>
      </w:r>
      <w:r w:rsidR="00620790" w:rsidRPr="00EB3A98">
        <w:rPr>
          <w:rFonts w:ascii="Arial" w:hAnsi="Arial" w:cs="Arial"/>
        </w:rPr>
        <w:t>.</w:t>
      </w:r>
    </w:p>
    <w:p w14:paraId="28B9BF89" w14:textId="2FF070F1" w:rsidR="00E87A86" w:rsidRPr="003234C5" w:rsidRDefault="00E87A86" w:rsidP="00E87A86">
      <w:pPr>
        <w:autoSpaceDE w:val="0"/>
        <w:autoSpaceDN w:val="0"/>
        <w:adjustRightInd w:val="0"/>
        <w:jc w:val="both"/>
        <w:rPr>
          <w:rFonts w:ascii="Arial" w:hAnsi="Arial" w:cs="Arial"/>
        </w:rPr>
      </w:pPr>
      <w:r w:rsidRPr="003234C5">
        <w:rPr>
          <w:rFonts w:ascii="Arial" w:hAnsi="Arial" w:cs="Arial"/>
        </w:rPr>
        <w:t>Conforme já explanado na Nota Explicativa n° 1</w:t>
      </w:r>
      <w:r w:rsidR="0060012D" w:rsidRPr="003234C5">
        <w:rPr>
          <w:rFonts w:ascii="Arial" w:hAnsi="Arial" w:cs="Arial"/>
        </w:rPr>
        <w:t>3</w:t>
      </w:r>
      <w:r w:rsidRPr="003234C5">
        <w:rPr>
          <w:rFonts w:ascii="Arial" w:hAnsi="Arial" w:cs="Arial"/>
        </w:rPr>
        <w:t xml:space="preserve">, a CEGÁS mantém um contrato com o seu supridor Petrobras, nos mesmos moldes do seu contrato com a </w:t>
      </w:r>
      <w:proofErr w:type="spellStart"/>
      <w:r w:rsidRPr="003234C5">
        <w:rPr>
          <w:rFonts w:ascii="Arial" w:hAnsi="Arial" w:cs="Arial"/>
        </w:rPr>
        <w:t>Termofortaleza</w:t>
      </w:r>
      <w:proofErr w:type="spellEnd"/>
      <w:r w:rsidRPr="003234C5">
        <w:rPr>
          <w:rFonts w:ascii="Arial" w:hAnsi="Arial" w:cs="Arial"/>
        </w:rPr>
        <w:t xml:space="preserve">, estando registrado na conta Crédito nas operações de venda e aquisição de gás com o supridor </w:t>
      </w:r>
      <w:r w:rsidRPr="006D77AD">
        <w:rPr>
          <w:rFonts w:ascii="Arial" w:hAnsi="Arial" w:cs="Arial"/>
        </w:rPr>
        <w:t xml:space="preserve">Petrobrás o montante de R$ </w:t>
      </w:r>
      <w:r w:rsidR="00937D48" w:rsidRPr="006D77AD">
        <w:rPr>
          <w:rFonts w:ascii="Arial" w:hAnsi="Arial" w:cs="Arial"/>
        </w:rPr>
        <w:t>35.134</w:t>
      </w:r>
      <w:r w:rsidRPr="006D77AD">
        <w:rPr>
          <w:rFonts w:ascii="Arial" w:hAnsi="Arial" w:cs="Arial"/>
        </w:rPr>
        <w:t xml:space="preserve"> referente ao principal e R$ </w:t>
      </w:r>
      <w:r w:rsidR="006D77AD" w:rsidRPr="006D77AD">
        <w:rPr>
          <w:rFonts w:ascii="Arial" w:hAnsi="Arial" w:cs="Arial"/>
        </w:rPr>
        <w:t>3.710</w:t>
      </w:r>
      <w:r w:rsidRPr="006D77AD">
        <w:rPr>
          <w:rFonts w:ascii="Arial" w:hAnsi="Arial" w:cs="Arial"/>
        </w:rPr>
        <w:t xml:space="preserve"> referente à atualização por variação no preço do gás.</w:t>
      </w:r>
      <w:r w:rsidRPr="003234C5">
        <w:rPr>
          <w:rFonts w:ascii="Arial" w:hAnsi="Arial" w:cs="Arial"/>
        </w:rPr>
        <w:t xml:space="preserve"> </w:t>
      </w:r>
    </w:p>
    <w:p w14:paraId="78F5A822" w14:textId="3AEA5AB2" w:rsidR="00E87A86" w:rsidRPr="003234C5" w:rsidRDefault="00A13112" w:rsidP="00E87A86">
      <w:pPr>
        <w:autoSpaceDE w:val="0"/>
        <w:autoSpaceDN w:val="0"/>
        <w:adjustRightInd w:val="0"/>
        <w:jc w:val="both"/>
        <w:rPr>
          <w:rFonts w:ascii="Arial" w:hAnsi="Arial" w:cs="Arial"/>
        </w:rPr>
      </w:pPr>
      <w:proofErr w:type="spellStart"/>
      <w:r w:rsidRPr="003234C5">
        <w:rPr>
          <w:rFonts w:ascii="Arial" w:hAnsi="Arial" w:cs="Arial"/>
        </w:rPr>
        <w:t>i</w:t>
      </w:r>
      <w:r w:rsidR="00E87A86" w:rsidRPr="003234C5">
        <w:rPr>
          <w:rFonts w:ascii="Arial" w:hAnsi="Arial" w:cs="Arial"/>
        </w:rPr>
        <w:t>v</w:t>
      </w:r>
      <w:proofErr w:type="spellEnd"/>
      <w:r w:rsidR="00E87A86" w:rsidRPr="003234C5">
        <w:rPr>
          <w:rFonts w:ascii="Arial" w:hAnsi="Arial" w:cs="Arial"/>
        </w:rPr>
        <w:t xml:space="preserve">) R$ </w:t>
      </w:r>
      <w:r w:rsidR="00312BB4" w:rsidRPr="003234C5">
        <w:rPr>
          <w:rFonts w:ascii="Arial" w:hAnsi="Arial" w:cs="Arial"/>
        </w:rPr>
        <w:t>35.</w:t>
      </w:r>
      <w:r w:rsidR="000941D0" w:rsidRPr="003234C5">
        <w:rPr>
          <w:rFonts w:ascii="Arial" w:hAnsi="Arial" w:cs="Arial"/>
        </w:rPr>
        <w:t>8</w:t>
      </w:r>
      <w:r w:rsidR="00D61072">
        <w:rPr>
          <w:rFonts w:ascii="Arial" w:hAnsi="Arial" w:cs="Arial"/>
        </w:rPr>
        <w:t>77</w:t>
      </w:r>
      <w:r w:rsidR="00E87A86" w:rsidRPr="003234C5">
        <w:rPr>
          <w:rFonts w:ascii="Arial" w:hAnsi="Arial" w:cs="Arial"/>
        </w:rPr>
        <w:t xml:space="preserve"> refere-se à emissão de notas de débitos aplicadas a clientes em cumprimento ao disposto na cláusula contratual de compromisso firme de retirada de gás, que estão sendo </w:t>
      </w:r>
      <w:r w:rsidR="00E87A86" w:rsidRPr="003234C5">
        <w:rPr>
          <w:rFonts w:ascii="Arial" w:hAnsi="Arial" w:cs="Arial"/>
        </w:rPr>
        <w:lastRenderedPageBreak/>
        <w:t xml:space="preserve">objeto de ação judicial de cobrança </w:t>
      </w:r>
      <w:r w:rsidR="001B7920">
        <w:rPr>
          <w:rFonts w:ascii="Arial" w:hAnsi="Arial" w:cs="Arial"/>
        </w:rPr>
        <w:t>ou</w:t>
      </w:r>
      <w:r w:rsidR="00E87A86" w:rsidRPr="003234C5">
        <w:rPr>
          <w:rFonts w:ascii="Arial" w:hAnsi="Arial" w:cs="Arial"/>
        </w:rPr>
        <w:t xml:space="preserve"> cuja expectativa de desfecho se estende além do exercício social. Desta forma, foram transferidos para o Passivo Não Circulante estando composto da seguinte forma: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4"/>
        <w:gridCol w:w="1134"/>
        <w:gridCol w:w="1134"/>
      </w:tblGrid>
      <w:tr w:rsidR="009B34F5" w:rsidRPr="003234C5" w14:paraId="4A61D09F" w14:textId="77777777" w:rsidTr="00C3673E">
        <w:trPr>
          <w:trHeight w:val="227"/>
        </w:trPr>
        <w:tc>
          <w:tcPr>
            <w:tcW w:w="6804" w:type="dxa"/>
            <w:shd w:val="clear" w:color="auto" w:fill="C0C0C0"/>
            <w:vAlign w:val="center"/>
          </w:tcPr>
          <w:p w14:paraId="0340177E" w14:textId="77777777" w:rsidR="00936BB0" w:rsidRPr="003234C5" w:rsidRDefault="00936BB0" w:rsidP="00936BB0">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NÃO CIRCULANTE</w:t>
            </w:r>
          </w:p>
        </w:tc>
        <w:tc>
          <w:tcPr>
            <w:tcW w:w="1134" w:type="dxa"/>
            <w:shd w:val="clear" w:color="auto" w:fill="C0C0C0"/>
            <w:vAlign w:val="bottom"/>
          </w:tcPr>
          <w:p w14:paraId="4CD1E90E" w14:textId="085C016A" w:rsidR="00936BB0" w:rsidRPr="003234C5" w:rsidRDefault="00C6257E" w:rsidP="00936BB0">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134" w:type="dxa"/>
            <w:shd w:val="clear" w:color="auto" w:fill="C0C0C0"/>
            <w:vAlign w:val="bottom"/>
          </w:tcPr>
          <w:p w14:paraId="2BE6A557" w14:textId="7DA0C780" w:rsidR="00936BB0" w:rsidRPr="003234C5" w:rsidRDefault="00C6257E" w:rsidP="00936BB0">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9B34F5" w:rsidRPr="003234C5" w14:paraId="5BE1B5F3" w14:textId="77777777" w:rsidTr="00C3673E">
        <w:trPr>
          <w:trHeight w:val="227"/>
        </w:trPr>
        <w:tc>
          <w:tcPr>
            <w:tcW w:w="6804" w:type="dxa"/>
            <w:shd w:val="clear" w:color="auto" w:fill="FFFFFF"/>
            <w:vAlign w:val="bottom"/>
          </w:tcPr>
          <w:p w14:paraId="258D51AF" w14:textId="1F03D877" w:rsidR="00620790" w:rsidRPr="003234C5" w:rsidRDefault="00620790" w:rsidP="00620790">
            <w:pPr>
              <w:spacing w:after="0"/>
              <w:jc w:val="both"/>
              <w:rPr>
                <w:rFonts w:ascii="Arial" w:hAnsi="Arial" w:cs="Arial"/>
                <w:color w:val="000000" w:themeColor="text1"/>
                <w:sz w:val="20"/>
                <w:szCs w:val="20"/>
              </w:rPr>
            </w:pPr>
            <w:r w:rsidRPr="003234C5">
              <w:rPr>
                <w:rFonts w:ascii="Arial" w:hAnsi="Arial" w:cs="Arial"/>
                <w:sz w:val="20"/>
                <w:szCs w:val="20"/>
              </w:rPr>
              <w:t xml:space="preserve">Petrobras Distribuidora S/A </w:t>
            </w:r>
          </w:p>
        </w:tc>
        <w:tc>
          <w:tcPr>
            <w:tcW w:w="1134" w:type="dxa"/>
            <w:shd w:val="clear" w:color="auto" w:fill="FFFFFF"/>
            <w:vAlign w:val="center"/>
          </w:tcPr>
          <w:p w14:paraId="39836BF5" w14:textId="118D124F" w:rsidR="00620790" w:rsidRPr="003234C5" w:rsidRDefault="00B8778D" w:rsidP="00620790">
            <w:pPr>
              <w:spacing w:after="0"/>
              <w:jc w:val="right"/>
              <w:rPr>
                <w:rFonts w:ascii="Arial" w:hAnsi="Arial" w:cs="Arial"/>
                <w:sz w:val="20"/>
                <w:szCs w:val="20"/>
              </w:rPr>
            </w:pPr>
            <w:r>
              <w:rPr>
                <w:rFonts w:ascii="Arial" w:hAnsi="Arial" w:cs="Arial"/>
                <w:sz w:val="20"/>
                <w:szCs w:val="20"/>
              </w:rPr>
              <w:t>13.516</w:t>
            </w:r>
          </w:p>
        </w:tc>
        <w:tc>
          <w:tcPr>
            <w:tcW w:w="1134" w:type="dxa"/>
            <w:shd w:val="clear" w:color="auto" w:fill="FFFFFF"/>
            <w:vAlign w:val="center"/>
          </w:tcPr>
          <w:p w14:paraId="01D1777D" w14:textId="791B412A" w:rsidR="00620790" w:rsidRPr="003234C5" w:rsidRDefault="00620790" w:rsidP="00620790">
            <w:pPr>
              <w:spacing w:after="0"/>
              <w:jc w:val="right"/>
              <w:rPr>
                <w:rFonts w:ascii="Arial" w:hAnsi="Arial" w:cs="Arial"/>
                <w:sz w:val="20"/>
                <w:szCs w:val="20"/>
              </w:rPr>
            </w:pPr>
            <w:r w:rsidRPr="003234C5">
              <w:rPr>
                <w:rFonts w:ascii="Arial" w:hAnsi="Arial" w:cs="Arial"/>
                <w:color w:val="000000"/>
                <w:sz w:val="20"/>
                <w:szCs w:val="20"/>
              </w:rPr>
              <w:t>13.516</w:t>
            </w:r>
          </w:p>
        </w:tc>
      </w:tr>
      <w:tr w:rsidR="009B34F5" w:rsidRPr="003234C5" w14:paraId="4E65A4BC" w14:textId="77777777" w:rsidTr="00C3673E">
        <w:trPr>
          <w:trHeight w:val="227"/>
        </w:trPr>
        <w:tc>
          <w:tcPr>
            <w:tcW w:w="6804" w:type="dxa"/>
            <w:shd w:val="clear" w:color="auto" w:fill="FFFFFF"/>
            <w:vAlign w:val="bottom"/>
          </w:tcPr>
          <w:p w14:paraId="7D0E0650" w14:textId="77777777" w:rsidR="00620790" w:rsidRPr="003234C5" w:rsidRDefault="00620790" w:rsidP="00620790">
            <w:pPr>
              <w:spacing w:after="0"/>
              <w:jc w:val="both"/>
              <w:rPr>
                <w:rFonts w:ascii="Arial" w:hAnsi="Arial" w:cs="Arial"/>
                <w:color w:val="000000" w:themeColor="text1"/>
                <w:sz w:val="20"/>
                <w:szCs w:val="20"/>
              </w:rPr>
            </w:pPr>
            <w:r w:rsidRPr="003234C5">
              <w:rPr>
                <w:rFonts w:ascii="Arial" w:hAnsi="Arial" w:cs="Arial"/>
                <w:color w:val="000000" w:themeColor="text1"/>
                <w:sz w:val="20"/>
                <w:szCs w:val="20"/>
              </w:rPr>
              <w:t>Shell Brasil Ltda</w:t>
            </w:r>
          </w:p>
        </w:tc>
        <w:tc>
          <w:tcPr>
            <w:tcW w:w="1134" w:type="dxa"/>
            <w:shd w:val="clear" w:color="auto" w:fill="FFFFFF"/>
            <w:vAlign w:val="center"/>
          </w:tcPr>
          <w:p w14:paraId="1E153682" w14:textId="6C655455" w:rsidR="00620790" w:rsidRPr="003234C5" w:rsidRDefault="00B8778D" w:rsidP="00620790">
            <w:pPr>
              <w:spacing w:after="0"/>
              <w:jc w:val="right"/>
              <w:rPr>
                <w:rFonts w:ascii="Arial" w:hAnsi="Arial" w:cs="Arial"/>
                <w:sz w:val="20"/>
                <w:szCs w:val="20"/>
              </w:rPr>
            </w:pPr>
            <w:r>
              <w:rPr>
                <w:rFonts w:ascii="Arial" w:hAnsi="Arial" w:cs="Arial"/>
                <w:sz w:val="20"/>
                <w:szCs w:val="20"/>
              </w:rPr>
              <w:t>8.532</w:t>
            </w:r>
          </w:p>
        </w:tc>
        <w:tc>
          <w:tcPr>
            <w:tcW w:w="1134" w:type="dxa"/>
            <w:shd w:val="clear" w:color="auto" w:fill="FFFFFF"/>
            <w:vAlign w:val="center"/>
          </w:tcPr>
          <w:p w14:paraId="2ED8CE0D" w14:textId="08D8BF65" w:rsidR="00620790" w:rsidRPr="003234C5" w:rsidRDefault="00620790" w:rsidP="00620790">
            <w:pPr>
              <w:spacing w:after="0"/>
              <w:jc w:val="right"/>
              <w:rPr>
                <w:rFonts w:ascii="Arial" w:hAnsi="Arial" w:cs="Arial"/>
                <w:sz w:val="20"/>
                <w:szCs w:val="20"/>
              </w:rPr>
            </w:pPr>
            <w:r w:rsidRPr="003234C5">
              <w:rPr>
                <w:rFonts w:ascii="Arial" w:hAnsi="Arial" w:cs="Arial"/>
                <w:color w:val="000000"/>
                <w:sz w:val="20"/>
                <w:szCs w:val="20"/>
              </w:rPr>
              <w:t>10.016</w:t>
            </w:r>
          </w:p>
        </w:tc>
      </w:tr>
      <w:tr w:rsidR="009B34F5" w:rsidRPr="003234C5" w14:paraId="1227C2BA" w14:textId="77777777" w:rsidTr="00C3673E">
        <w:trPr>
          <w:trHeight w:val="227"/>
        </w:trPr>
        <w:tc>
          <w:tcPr>
            <w:tcW w:w="6804" w:type="dxa"/>
            <w:shd w:val="clear" w:color="auto" w:fill="FFFFFF"/>
            <w:vAlign w:val="bottom"/>
          </w:tcPr>
          <w:p w14:paraId="56082159" w14:textId="51529692" w:rsidR="00620790" w:rsidRPr="003234C5" w:rsidRDefault="00620790" w:rsidP="00620790">
            <w:pPr>
              <w:spacing w:after="0"/>
              <w:jc w:val="both"/>
              <w:rPr>
                <w:rFonts w:ascii="Arial" w:hAnsi="Arial" w:cs="Arial"/>
                <w:color w:val="000000" w:themeColor="text1"/>
                <w:sz w:val="20"/>
                <w:szCs w:val="20"/>
              </w:rPr>
            </w:pPr>
            <w:r w:rsidRPr="003234C5">
              <w:rPr>
                <w:rFonts w:ascii="Arial" w:hAnsi="Arial" w:cs="Arial"/>
                <w:color w:val="000000" w:themeColor="text1"/>
                <w:sz w:val="20"/>
                <w:szCs w:val="20"/>
              </w:rPr>
              <w:t>Siderúrgica Latino Americana S/A</w:t>
            </w:r>
          </w:p>
        </w:tc>
        <w:tc>
          <w:tcPr>
            <w:tcW w:w="1134" w:type="dxa"/>
            <w:shd w:val="clear" w:color="auto" w:fill="FFFFFF"/>
            <w:vAlign w:val="center"/>
          </w:tcPr>
          <w:p w14:paraId="10F43531" w14:textId="603FAC3F" w:rsidR="00620790" w:rsidRPr="003234C5" w:rsidRDefault="008775B3" w:rsidP="00620790">
            <w:pPr>
              <w:spacing w:after="0"/>
              <w:jc w:val="right"/>
              <w:rPr>
                <w:rFonts w:ascii="Arial" w:hAnsi="Arial" w:cs="Arial"/>
                <w:color w:val="000000"/>
                <w:sz w:val="20"/>
                <w:szCs w:val="20"/>
              </w:rPr>
            </w:pPr>
            <w:r>
              <w:rPr>
                <w:rFonts w:ascii="Arial" w:hAnsi="Arial" w:cs="Arial"/>
                <w:color w:val="000000"/>
                <w:sz w:val="20"/>
                <w:szCs w:val="20"/>
              </w:rPr>
              <w:t>11.968</w:t>
            </w:r>
          </w:p>
        </w:tc>
        <w:tc>
          <w:tcPr>
            <w:tcW w:w="1134" w:type="dxa"/>
            <w:shd w:val="clear" w:color="auto" w:fill="FFFFFF"/>
            <w:vAlign w:val="center"/>
          </w:tcPr>
          <w:p w14:paraId="03A954D3" w14:textId="678554B4" w:rsidR="00620790" w:rsidRPr="003234C5" w:rsidRDefault="00620790" w:rsidP="00620790">
            <w:pPr>
              <w:spacing w:after="0"/>
              <w:jc w:val="right"/>
              <w:rPr>
                <w:rFonts w:ascii="Arial" w:hAnsi="Arial" w:cs="Arial"/>
                <w:color w:val="000000"/>
                <w:sz w:val="20"/>
                <w:szCs w:val="20"/>
              </w:rPr>
            </w:pPr>
            <w:r w:rsidRPr="003234C5">
              <w:rPr>
                <w:rFonts w:ascii="Arial" w:hAnsi="Arial" w:cs="Arial"/>
                <w:color w:val="000000"/>
                <w:sz w:val="20"/>
                <w:szCs w:val="20"/>
              </w:rPr>
              <w:t>-</w:t>
            </w:r>
          </w:p>
        </w:tc>
      </w:tr>
      <w:tr w:rsidR="009B34F5" w:rsidRPr="003234C5" w14:paraId="5FEE5BF6" w14:textId="77777777" w:rsidTr="00C3673E">
        <w:trPr>
          <w:trHeight w:val="227"/>
        </w:trPr>
        <w:tc>
          <w:tcPr>
            <w:tcW w:w="6804" w:type="dxa"/>
            <w:shd w:val="clear" w:color="auto" w:fill="FFFFFF"/>
            <w:vAlign w:val="bottom"/>
          </w:tcPr>
          <w:p w14:paraId="2C6D9C3C" w14:textId="77777777" w:rsidR="00620790" w:rsidRPr="003234C5" w:rsidRDefault="00620790" w:rsidP="00620790">
            <w:pPr>
              <w:spacing w:after="0"/>
              <w:jc w:val="both"/>
              <w:rPr>
                <w:rFonts w:ascii="Arial" w:hAnsi="Arial" w:cs="Arial"/>
                <w:color w:val="000000" w:themeColor="text1"/>
                <w:sz w:val="20"/>
                <w:szCs w:val="20"/>
              </w:rPr>
            </w:pPr>
            <w:r w:rsidRPr="003234C5">
              <w:rPr>
                <w:rFonts w:ascii="Arial" w:hAnsi="Arial" w:cs="Arial"/>
                <w:color w:val="000000" w:themeColor="text1"/>
                <w:sz w:val="20"/>
                <w:szCs w:val="20"/>
              </w:rPr>
              <w:t>Santana Têxtil S/A</w:t>
            </w:r>
          </w:p>
        </w:tc>
        <w:tc>
          <w:tcPr>
            <w:tcW w:w="1134" w:type="dxa"/>
            <w:shd w:val="clear" w:color="auto" w:fill="FFFFFF"/>
            <w:vAlign w:val="center"/>
          </w:tcPr>
          <w:p w14:paraId="040F7EC5" w14:textId="27EF32EE" w:rsidR="00620790" w:rsidRPr="003234C5" w:rsidRDefault="008775B3" w:rsidP="00620790">
            <w:pPr>
              <w:spacing w:after="0"/>
              <w:jc w:val="right"/>
              <w:rPr>
                <w:rFonts w:ascii="Arial" w:hAnsi="Arial" w:cs="Arial"/>
                <w:sz w:val="20"/>
                <w:szCs w:val="20"/>
              </w:rPr>
            </w:pPr>
            <w:r>
              <w:rPr>
                <w:rFonts w:ascii="Arial" w:hAnsi="Arial" w:cs="Arial"/>
                <w:sz w:val="20"/>
                <w:szCs w:val="20"/>
              </w:rPr>
              <w:t>1.068</w:t>
            </w:r>
          </w:p>
        </w:tc>
        <w:tc>
          <w:tcPr>
            <w:tcW w:w="1134" w:type="dxa"/>
            <w:shd w:val="clear" w:color="auto" w:fill="FFFFFF"/>
            <w:vAlign w:val="center"/>
          </w:tcPr>
          <w:p w14:paraId="617EFE4B" w14:textId="3E126F6B" w:rsidR="00620790" w:rsidRPr="003234C5" w:rsidRDefault="00620790" w:rsidP="00620790">
            <w:pPr>
              <w:spacing w:after="0"/>
              <w:jc w:val="right"/>
              <w:rPr>
                <w:rFonts w:ascii="Arial" w:hAnsi="Arial" w:cs="Arial"/>
                <w:sz w:val="20"/>
                <w:szCs w:val="20"/>
              </w:rPr>
            </w:pPr>
            <w:r w:rsidRPr="003234C5">
              <w:rPr>
                <w:rFonts w:ascii="Arial" w:hAnsi="Arial" w:cs="Arial"/>
                <w:color w:val="000000"/>
                <w:sz w:val="20"/>
                <w:szCs w:val="20"/>
              </w:rPr>
              <w:t>1.068</w:t>
            </w:r>
          </w:p>
        </w:tc>
      </w:tr>
      <w:tr w:rsidR="009B34F5" w:rsidRPr="003234C5" w14:paraId="33B58920" w14:textId="77777777" w:rsidTr="00C3673E">
        <w:trPr>
          <w:trHeight w:val="227"/>
        </w:trPr>
        <w:tc>
          <w:tcPr>
            <w:tcW w:w="6804" w:type="dxa"/>
            <w:shd w:val="clear" w:color="auto" w:fill="FFFFFF"/>
            <w:vAlign w:val="bottom"/>
          </w:tcPr>
          <w:p w14:paraId="564AC89A" w14:textId="77777777" w:rsidR="00620790" w:rsidRPr="003234C5" w:rsidRDefault="00620790" w:rsidP="00620790">
            <w:pPr>
              <w:spacing w:after="0"/>
              <w:jc w:val="both"/>
              <w:rPr>
                <w:rFonts w:ascii="Arial" w:hAnsi="Arial" w:cs="Arial"/>
                <w:color w:val="000000" w:themeColor="text1"/>
                <w:sz w:val="20"/>
                <w:szCs w:val="20"/>
              </w:rPr>
            </w:pPr>
            <w:r w:rsidRPr="003234C5">
              <w:rPr>
                <w:rFonts w:ascii="Arial" w:hAnsi="Arial" w:cs="Arial"/>
                <w:color w:val="000000" w:themeColor="text1"/>
                <w:sz w:val="20"/>
                <w:szCs w:val="20"/>
              </w:rPr>
              <w:t>Demais clientes</w:t>
            </w:r>
          </w:p>
        </w:tc>
        <w:tc>
          <w:tcPr>
            <w:tcW w:w="1134" w:type="dxa"/>
            <w:shd w:val="clear" w:color="auto" w:fill="FFFFFF"/>
            <w:vAlign w:val="center"/>
          </w:tcPr>
          <w:p w14:paraId="0DFEACCA" w14:textId="18CF0D76" w:rsidR="00620790" w:rsidRPr="003234C5" w:rsidDel="00EB5818" w:rsidRDefault="008775B3" w:rsidP="00620790">
            <w:pPr>
              <w:spacing w:after="0"/>
              <w:jc w:val="right"/>
              <w:rPr>
                <w:rFonts w:ascii="Arial" w:hAnsi="Arial" w:cs="Arial"/>
                <w:sz w:val="20"/>
                <w:szCs w:val="20"/>
              </w:rPr>
            </w:pPr>
            <w:r>
              <w:rPr>
                <w:rFonts w:ascii="Arial" w:hAnsi="Arial" w:cs="Arial"/>
                <w:sz w:val="20"/>
                <w:szCs w:val="20"/>
              </w:rPr>
              <w:t>793</w:t>
            </w:r>
          </w:p>
        </w:tc>
        <w:tc>
          <w:tcPr>
            <w:tcW w:w="1134" w:type="dxa"/>
            <w:shd w:val="clear" w:color="auto" w:fill="FFFFFF"/>
            <w:vAlign w:val="center"/>
          </w:tcPr>
          <w:p w14:paraId="7E3789FC" w14:textId="2857E650" w:rsidR="00620790" w:rsidRPr="003234C5" w:rsidRDefault="00620790" w:rsidP="00620790">
            <w:pPr>
              <w:spacing w:after="0"/>
              <w:jc w:val="right"/>
              <w:rPr>
                <w:rFonts w:ascii="Arial" w:hAnsi="Arial" w:cs="Arial"/>
                <w:sz w:val="20"/>
                <w:szCs w:val="20"/>
              </w:rPr>
            </w:pPr>
            <w:r w:rsidRPr="003234C5">
              <w:rPr>
                <w:rFonts w:ascii="Arial" w:hAnsi="Arial" w:cs="Arial"/>
                <w:color w:val="000000"/>
                <w:sz w:val="20"/>
                <w:szCs w:val="20"/>
              </w:rPr>
              <w:t>605</w:t>
            </w:r>
          </w:p>
        </w:tc>
      </w:tr>
      <w:tr w:rsidR="009B34F5" w:rsidRPr="003234C5" w14:paraId="7AB2684A" w14:textId="77777777" w:rsidTr="00C3673E">
        <w:trPr>
          <w:trHeight w:val="227"/>
        </w:trPr>
        <w:tc>
          <w:tcPr>
            <w:tcW w:w="6804" w:type="dxa"/>
            <w:shd w:val="clear" w:color="auto" w:fill="C0C0C0"/>
            <w:vAlign w:val="center"/>
          </w:tcPr>
          <w:p w14:paraId="565A5EC6" w14:textId="77777777" w:rsidR="00620790" w:rsidRPr="003234C5" w:rsidRDefault="00620790" w:rsidP="00620790">
            <w:pPr>
              <w:spacing w:after="0"/>
              <w:jc w:val="both"/>
              <w:rPr>
                <w:rFonts w:ascii="Arial" w:hAnsi="Arial" w:cs="Arial"/>
                <w:sz w:val="20"/>
                <w:szCs w:val="20"/>
              </w:rPr>
            </w:pPr>
            <w:r w:rsidRPr="003234C5">
              <w:rPr>
                <w:rFonts w:ascii="Arial" w:hAnsi="Arial" w:cs="Arial"/>
                <w:b/>
                <w:sz w:val="20"/>
                <w:szCs w:val="20"/>
              </w:rPr>
              <w:t>TOTAL</w:t>
            </w:r>
          </w:p>
        </w:tc>
        <w:tc>
          <w:tcPr>
            <w:tcW w:w="1134" w:type="dxa"/>
            <w:shd w:val="clear" w:color="auto" w:fill="C0C0C0"/>
            <w:vAlign w:val="center"/>
          </w:tcPr>
          <w:p w14:paraId="63F2BD13" w14:textId="54892D86" w:rsidR="00620790" w:rsidRPr="003234C5" w:rsidRDefault="008775B3" w:rsidP="00620790">
            <w:pPr>
              <w:spacing w:after="0"/>
              <w:jc w:val="right"/>
              <w:rPr>
                <w:rFonts w:ascii="Arial" w:hAnsi="Arial" w:cs="Arial"/>
                <w:b/>
                <w:sz w:val="20"/>
                <w:szCs w:val="20"/>
              </w:rPr>
            </w:pPr>
            <w:r>
              <w:rPr>
                <w:rFonts w:ascii="Arial" w:hAnsi="Arial" w:cs="Arial"/>
                <w:b/>
                <w:sz w:val="20"/>
                <w:szCs w:val="20"/>
              </w:rPr>
              <w:t>35.877</w:t>
            </w:r>
          </w:p>
        </w:tc>
        <w:tc>
          <w:tcPr>
            <w:tcW w:w="1134" w:type="dxa"/>
            <w:shd w:val="clear" w:color="auto" w:fill="C0C0C0"/>
            <w:vAlign w:val="center"/>
          </w:tcPr>
          <w:p w14:paraId="724C785C" w14:textId="5F214E1A" w:rsidR="00620790" w:rsidRPr="003234C5" w:rsidRDefault="00620790" w:rsidP="00620790">
            <w:pPr>
              <w:spacing w:after="0"/>
              <w:jc w:val="right"/>
              <w:rPr>
                <w:rFonts w:ascii="Arial" w:hAnsi="Arial" w:cs="Arial"/>
                <w:sz w:val="20"/>
                <w:szCs w:val="20"/>
              </w:rPr>
            </w:pPr>
            <w:r w:rsidRPr="003234C5">
              <w:rPr>
                <w:rFonts w:ascii="Arial" w:hAnsi="Arial" w:cs="Arial"/>
                <w:b/>
                <w:bCs/>
                <w:color w:val="000000"/>
                <w:sz w:val="20"/>
                <w:szCs w:val="20"/>
              </w:rPr>
              <w:t>25.205</w:t>
            </w:r>
          </w:p>
        </w:tc>
      </w:tr>
    </w:tbl>
    <w:p w14:paraId="6A5FB0C6" w14:textId="2E6B0D0D" w:rsidR="00E574E6" w:rsidRDefault="00E574E6" w:rsidP="00200682">
      <w:pPr>
        <w:jc w:val="both"/>
        <w:rPr>
          <w:rFonts w:ascii="Arial" w:hAnsi="Arial" w:cs="Arial"/>
        </w:rPr>
      </w:pPr>
    </w:p>
    <w:p w14:paraId="4E1CDF76" w14:textId="3DF0FA22" w:rsidR="00E574E6" w:rsidRPr="003234C5" w:rsidRDefault="00E574E6" w:rsidP="00E574E6">
      <w:pPr>
        <w:widowControl w:val="0"/>
        <w:jc w:val="both"/>
        <w:rPr>
          <w:rFonts w:ascii="Arial" w:hAnsi="Arial" w:cs="Arial"/>
          <w:b/>
        </w:rPr>
      </w:pPr>
      <w:r w:rsidRPr="003234C5">
        <w:rPr>
          <w:rFonts w:ascii="Arial" w:hAnsi="Arial" w:cs="Arial"/>
          <w:b/>
        </w:rPr>
        <w:t>NOTA 2</w:t>
      </w:r>
      <w:r w:rsidR="00D047EC">
        <w:rPr>
          <w:rFonts w:ascii="Arial" w:hAnsi="Arial" w:cs="Arial"/>
          <w:b/>
        </w:rPr>
        <w:t>2</w:t>
      </w:r>
      <w:r w:rsidRPr="003234C5">
        <w:rPr>
          <w:rFonts w:ascii="Arial" w:hAnsi="Arial" w:cs="Arial"/>
          <w:b/>
        </w:rPr>
        <w:t>. REMUNERAÇÃO DOS ADMINISTRADORES</w:t>
      </w:r>
    </w:p>
    <w:p w14:paraId="18ED3A3C" w14:textId="66D03EDB" w:rsidR="00216C47" w:rsidRPr="003234C5" w:rsidRDefault="00D115A4" w:rsidP="00413300">
      <w:pPr>
        <w:jc w:val="both"/>
        <w:rPr>
          <w:rFonts w:ascii="Arial" w:hAnsi="Arial" w:cs="Arial"/>
        </w:rPr>
      </w:pPr>
      <w:r w:rsidRPr="003234C5">
        <w:rPr>
          <w:rFonts w:ascii="Arial" w:hAnsi="Arial" w:cs="Arial"/>
        </w:rPr>
        <w:t>Consideram-se pessoal-chave da Administração os membros da diretoria estatutária</w:t>
      </w:r>
      <w:r w:rsidR="0046130F">
        <w:rPr>
          <w:rFonts w:ascii="Arial" w:hAnsi="Arial" w:cs="Arial"/>
        </w:rPr>
        <w:t xml:space="preserve"> </w:t>
      </w:r>
      <w:proofErr w:type="gramStart"/>
      <w:r w:rsidR="0046130F">
        <w:rPr>
          <w:rFonts w:ascii="Arial" w:hAnsi="Arial" w:cs="Arial"/>
        </w:rPr>
        <w:t xml:space="preserve">e </w:t>
      </w:r>
      <w:r w:rsidR="00C06D0C" w:rsidRPr="003234C5">
        <w:rPr>
          <w:rFonts w:ascii="Arial" w:hAnsi="Arial" w:cs="Arial"/>
        </w:rPr>
        <w:t xml:space="preserve"> </w:t>
      </w:r>
      <w:r w:rsidRPr="003234C5">
        <w:rPr>
          <w:rFonts w:ascii="Arial" w:hAnsi="Arial" w:cs="Arial"/>
        </w:rPr>
        <w:t>membros</w:t>
      </w:r>
      <w:proofErr w:type="gramEnd"/>
      <w:r w:rsidRPr="003234C5">
        <w:rPr>
          <w:rFonts w:ascii="Arial" w:hAnsi="Arial" w:cs="Arial"/>
        </w:rPr>
        <w:t xml:space="preserve"> independentes do Conselho de Administração. Em </w:t>
      </w:r>
      <w:r w:rsidR="0055071C">
        <w:rPr>
          <w:rFonts w:ascii="Arial" w:hAnsi="Arial" w:cs="Arial"/>
        </w:rPr>
        <w:t>31</w:t>
      </w:r>
      <w:r w:rsidRPr="003234C5">
        <w:rPr>
          <w:rFonts w:ascii="Arial" w:hAnsi="Arial" w:cs="Arial"/>
        </w:rPr>
        <w:t xml:space="preserve"> de </w:t>
      </w:r>
      <w:r w:rsidR="0055071C">
        <w:rPr>
          <w:rFonts w:ascii="Arial" w:hAnsi="Arial" w:cs="Arial"/>
        </w:rPr>
        <w:t>dez</w:t>
      </w:r>
      <w:r w:rsidR="00310421" w:rsidRPr="003234C5">
        <w:rPr>
          <w:rFonts w:ascii="Arial" w:hAnsi="Arial" w:cs="Arial"/>
        </w:rPr>
        <w:t>embro</w:t>
      </w:r>
      <w:r w:rsidRPr="003234C5">
        <w:rPr>
          <w:rFonts w:ascii="Arial" w:hAnsi="Arial" w:cs="Arial"/>
        </w:rPr>
        <w:t xml:space="preserve"> de 201</w:t>
      </w:r>
      <w:r w:rsidR="0060012D" w:rsidRPr="003234C5">
        <w:rPr>
          <w:rFonts w:ascii="Arial" w:hAnsi="Arial" w:cs="Arial"/>
        </w:rPr>
        <w:t>9</w:t>
      </w:r>
      <w:r w:rsidRPr="003234C5">
        <w:rPr>
          <w:rFonts w:ascii="Arial" w:hAnsi="Arial" w:cs="Arial"/>
        </w:rPr>
        <w:t xml:space="preserve">, </w:t>
      </w:r>
      <w:r w:rsidRPr="00AF66F9">
        <w:rPr>
          <w:rFonts w:ascii="Arial" w:hAnsi="Arial" w:cs="Arial"/>
        </w:rPr>
        <w:t xml:space="preserve">a Companhia registrou o montante de R$ </w:t>
      </w:r>
      <w:proofErr w:type="gramStart"/>
      <w:r w:rsidR="00D9724B">
        <w:rPr>
          <w:rFonts w:ascii="Arial" w:hAnsi="Arial" w:cs="Arial"/>
        </w:rPr>
        <w:t>1.</w:t>
      </w:r>
      <w:r w:rsidR="00520B0A">
        <w:rPr>
          <w:rFonts w:ascii="Arial" w:hAnsi="Arial" w:cs="Arial"/>
        </w:rPr>
        <w:t>307</w:t>
      </w:r>
      <w:r w:rsidRPr="00AF66F9">
        <w:rPr>
          <w:rFonts w:ascii="Arial" w:hAnsi="Arial" w:cs="Arial"/>
        </w:rPr>
        <w:t xml:space="preserve">  relativo</w:t>
      </w:r>
      <w:proofErr w:type="gramEnd"/>
      <w:r w:rsidRPr="00AF66F9">
        <w:rPr>
          <w:rFonts w:ascii="Arial" w:hAnsi="Arial" w:cs="Arial"/>
        </w:rPr>
        <w:t xml:space="preserve"> à</w:t>
      </w:r>
      <w:r w:rsidRPr="003234C5">
        <w:rPr>
          <w:rFonts w:ascii="Arial" w:hAnsi="Arial" w:cs="Arial"/>
        </w:rPr>
        <w:t xml:space="preserve"> remuneração do pessoal-chave da Administração</w:t>
      </w:r>
      <w:r w:rsidR="00F855BA" w:rsidRPr="003234C5">
        <w:rPr>
          <w:rFonts w:ascii="Arial" w:hAnsi="Arial" w:cs="Arial"/>
        </w:rPr>
        <w:t xml:space="preserve"> e do Conselho</w:t>
      </w:r>
      <w:r w:rsidR="0046130F">
        <w:rPr>
          <w:rFonts w:ascii="Arial" w:hAnsi="Arial" w:cs="Arial"/>
        </w:rPr>
        <w:t xml:space="preserve"> de Administração</w:t>
      </w:r>
      <w:r w:rsidRPr="003234C5">
        <w:rPr>
          <w:rFonts w:ascii="Arial" w:hAnsi="Arial" w:cs="Arial"/>
        </w:rPr>
        <w:t>, a título de benefícios de curto prazo. Vale salientar que o valor dos honorários da Administração evidenciados na demonstração de resultado do período contempla a remuneração direta, compreendendo itens como salários, pró-labore e gratificações</w:t>
      </w:r>
      <w:r w:rsidR="00C06D0C" w:rsidRPr="003234C5">
        <w:rPr>
          <w:rFonts w:ascii="Arial" w:hAnsi="Arial" w:cs="Arial"/>
        </w:rPr>
        <w:t xml:space="preserve"> e a remuneração variável da Diretoria Estatutária</w:t>
      </w:r>
      <w:r w:rsidR="00F62EE3" w:rsidRPr="003234C5">
        <w:rPr>
          <w:rFonts w:ascii="Arial" w:hAnsi="Arial" w:cs="Arial"/>
        </w:rPr>
        <w:t xml:space="preserve">, </w:t>
      </w:r>
      <w:r w:rsidR="00F62EE3" w:rsidRPr="000A5CD4">
        <w:rPr>
          <w:rFonts w:ascii="Arial" w:hAnsi="Arial" w:cs="Arial"/>
        </w:rPr>
        <w:t>conforme descrito na Nota 2</w:t>
      </w:r>
      <w:r w:rsidR="000A5CD4" w:rsidRPr="000A5CD4">
        <w:rPr>
          <w:rFonts w:ascii="Arial" w:hAnsi="Arial" w:cs="Arial"/>
        </w:rPr>
        <w:t>6</w:t>
      </w:r>
      <w:r w:rsidR="00B35BBC" w:rsidRPr="000A5CD4">
        <w:rPr>
          <w:rFonts w:ascii="Arial" w:hAnsi="Arial" w:cs="Arial"/>
        </w:rPr>
        <w:t xml:space="preserve"> das Demonstrações Financeiras de </w:t>
      </w:r>
      <w:r w:rsidR="0060012D" w:rsidRPr="000A5CD4">
        <w:rPr>
          <w:rFonts w:ascii="Arial" w:hAnsi="Arial" w:cs="Arial"/>
        </w:rPr>
        <w:t xml:space="preserve">31 de dezembro de </w:t>
      </w:r>
      <w:r w:rsidR="00B35BBC" w:rsidRPr="000A5CD4">
        <w:rPr>
          <w:rFonts w:ascii="Arial" w:hAnsi="Arial" w:cs="Arial"/>
        </w:rPr>
        <w:t>201</w:t>
      </w:r>
      <w:r w:rsidR="00D601BE" w:rsidRPr="000A5CD4">
        <w:rPr>
          <w:rFonts w:ascii="Arial" w:hAnsi="Arial" w:cs="Arial"/>
        </w:rPr>
        <w:t>9</w:t>
      </w:r>
      <w:r w:rsidR="00B35BBC" w:rsidRPr="000A5CD4">
        <w:rPr>
          <w:rFonts w:ascii="Arial" w:hAnsi="Arial" w:cs="Arial"/>
        </w:rPr>
        <w:t>.</w:t>
      </w:r>
    </w:p>
    <w:p w14:paraId="55E2CC03" w14:textId="4D33F453" w:rsidR="00A974CD" w:rsidRPr="003234C5" w:rsidRDefault="00A974CD" w:rsidP="00216C47">
      <w:pPr>
        <w:widowControl w:val="0"/>
        <w:spacing w:after="120"/>
        <w:jc w:val="both"/>
        <w:rPr>
          <w:rFonts w:ascii="Arial" w:hAnsi="Arial" w:cs="Arial"/>
          <w:b/>
        </w:rPr>
      </w:pPr>
      <w:r w:rsidRPr="003234C5">
        <w:rPr>
          <w:rFonts w:ascii="Arial" w:hAnsi="Arial" w:cs="Arial"/>
          <w:b/>
        </w:rPr>
        <w:t>NOTA 2</w:t>
      </w:r>
      <w:r w:rsidR="00AF66F9">
        <w:rPr>
          <w:rFonts w:ascii="Arial" w:hAnsi="Arial" w:cs="Arial"/>
          <w:b/>
        </w:rPr>
        <w:t>3</w:t>
      </w:r>
      <w:r w:rsidRPr="003234C5">
        <w:rPr>
          <w:rFonts w:ascii="Arial" w:hAnsi="Arial" w:cs="Arial"/>
          <w:b/>
        </w:rPr>
        <w:t xml:space="preserve">. </w:t>
      </w:r>
      <w:r w:rsidR="002A40A8" w:rsidRPr="003234C5">
        <w:rPr>
          <w:rFonts w:ascii="Arial" w:hAnsi="Arial" w:cs="Arial"/>
          <w:b/>
        </w:rPr>
        <w:t>CAUÇÕES/VALORES EM CONTROVÉRSIA/SUBVENÇÕES</w:t>
      </w:r>
    </w:p>
    <w:p w14:paraId="6D52B7C3" w14:textId="5E0837C4" w:rsidR="00C3673E" w:rsidRPr="003234C5" w:rsidRDefault="00A974CD" w:rsidP="00A974CD">
      <w:pPr>
        <w:jc w:val="both"/>
        <w:rPr>
          <w:rFonts w:ascii="Arial" w:hAnsi="Arial" w:cs="Arial"/>
        </w:rPr>
      </w:pPr>
      <w:r w:rsidRPr="003234C5">
        <w:rPr>
          <w:rFonts w:ascii="Arial" w:hAnsi="Arial" w:cs="Arial"/>
        </w:rPr>
        <w:t xml:space="preserve">O registro na rubrica outros passivos no Circulante e Não Circulante referem-se ao saldo de subvenções de investimentos a apropriar, provisões para contingências, cauções contratuais, valores em controvérsia e participação financeira de clientes conforme demonstrado na tabela a seguir: </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9"/>
        <w:gridCol w:w="1134"/>
        <w:gridCol w:w="1128"/>
      </w:tblGrid>
      <w:tr w:rsidR="00B35BBC" w:rsidRPr="003234C5" w14:paraId="4E79F053" w14:textId="77777777" w:rsidTr="00C3673E">
        <w:trPr>
          <w:trHeight w:val="227"/>
          <w:jc w:val="center"/>
        </w:trPr>
        <w:tc>
          <w:tcPr>
            <w:tcW w:w="6799" w:type="dxa"/>
            <w:shd w:val="clear" w:color="auto" w:fill="C0C0C0"/>
            <w:vAlign w:val="center"/>
          </w:tcPr>
          <w:p w14:paraId="7BA22823" w14:textId="77777777" w:rsidR="00B35BBC" w:rsidRPr="003234C5" w:rsidRDefault="00B35BBC" w:rsidP="00B35BBC">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CIRCULANTE</w:t>
            </w:r>
          </w:p>
        </w:tc>
        <w:tc>
          <w:tcPr>
            <w:tcW w:w="1134" w:type="dxa"/>
            <w:shd w:val="clear" w:color="auto" w:fill="C0C0C0"/>
            <w:vAlign w:val="bottom"/>
          </w:tcPr>
          <w:p w14:paraId="16EAD335" w14:textId="6D818CAB" w:rsidR="00B35BBC" w:rsidRPr="003234C5" w:rsidRDefault="00C6257E" w:rsidP="00B35BBC">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128" w:type="dxa"/>
            <w:shd w:val="clear" w:color="auto" w:fill="C0C0C0"/>
            <w:vAlign w:val="bottom"/>
          </w:tcPr>
          <w:p w14:paraId="49B561E8" w14:textId="0A529178" w:rsidR="00B35BBC" w:rsidRPr="003234C5" w:rsidRDefault="00C6257E" w:rsidP="00B35BBC">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413300" w:rsidRPr="003234C5" w14:paraId="6827C16E" w14:textId="77777777" w:rsidTr="00C3673E">
        <w:trPr>
          <w:trHeight w:val="227"/>
          <w:jc w:val="center"/>
        </w:trPr>
        <w:tc>
          <w:tcPr>
            <w:tcW w:w="6799" w:type="dxa"/>
            <w:shd w:val="clear" w:color="auto" w:fill="FFFFFF"/>
            <w:vAlign w:val="bottom"/>
          </w:tcPr>
          <w:p w14:paraId="37058156" w14:textId="77777777" w:rsidR="00413300" w:rsidRPr="003234C5" w:rsidRDefault="00413300" w:rsidP="00413300">
            <w:pPr>
              <w:spacing w:after="0"/>
              <w:jc w:val="both"/>
              <w:rPr>
                <w:rFonts w:ascii="Arial" w:hAnsi="Arial" w:cs="Arial"/>
                <w:bCs/>
                <w:sz w:val="20"/>
                <w:szCs w:val="20"/>
              </w:rPr>
            </w:pPr>
            <w:r w:rsidRPr="003234C5">
              <w:rPr>
                <w:rFonts w:ascii="Arial" w:hAnsi="Arial" w:cs="Arial"/>
                <w:bCs/>
                <w:sz w:val="20"/>
                <w:szCs w:val="20"/>
              </w:rPr>
              <w:t>Subvenções de investimentos a apropriar</w:t>
            </w:r>
          </w:p>
        </w:tc>
        <w:tc>
          <w:tcPr>
            <w:tcW w:w="1134" w:type="dxa"/>
            <w:shd w:val="clear" w:color="auto" w:fill="FFFFFF"/>
            <w:vAlign w:val="center"/>
          </w:tcPr>
          <w:p w14:paraId="693F8A45" w14:textId="6774CDA7" w:rsidR="00413300" w:rsidRPr="003234C5" w:rsidRDefault="00D62267" w:rsidP="00413300">
            <w:pPr>
              <w:spacing w:after="0"/>
              <w:jc w:val="right"/>
              <w:rPr>
                <w:rFonts w:ascii="Arial" w:hAnsi="Arial" w:cs="Arial"/>
                <w:sz w:val="20"/>
                <w:szCs w:val="20"/>
              </w:rPr>
            </w:pPr>
            <w:r>
              <w:rPr>
                <w:rFonts w:ascii="Arial" w:hAnsi="Arial" w:cs="Arial"/>
                <w:sz w:val="20"/>
                <w:szCs w:val="20"/>
              </w:rPr>
              <w:t>35</w:t>
            </w:r>
          </w:p>
        </w:tc>
        <w:tc>
          <w:tcPr>
            <w:tcW w:w="1128" w:type="dxa"/>
            <w:shd w:val="clear" w:color="auto" w:fill="FFFFFF"/>
            <w:vAlign w:val="center"/>
          </w:tcPr>
          <w:p w14:paraId="45A86497" w14:textId="74A76C5A" w:rsidR="00413300" w:rsidRPr="003234C5" w:rsidRDefault="00413300" w:rsidP="00413300">
            <w:pPr>
              <w:spacing w:after="0"/>
              <w:jc w:val="right"/>
              <w:rPr>
                <w:rFonts w:ascii="Arial" w:hAnsi="Arial" w:cs="Arial"/>
                <w:sz w:val="20"/>
                <w:szCs w:val="20"/>
              </w:rPr>
            </w:pPr>
            <w:r w:rsidRPr="003234C5">
              <w:rPr>
                <w:rFonts w:ascii="Arial" w:hAnsi="Arial" w:cs="Arial"/>
                <w:color w:val="000000"/>
                <w:sz w:val="20"/>
                <w:szCs w:val="20"/>
              </w:rPr>
              <w:t>35</w:t>
            </w:r>
          </w:p>
        </w:tc>
      </w:tr>
      <w:tr w:rsidR="00413300" w:rsidRPr="003234C5" w14:paraId="7708C3C7" w14:textId="77777777" w:rsidTr="00C3673E">
        <w:trPr>
          <w:trHeight w:val="227"/>
          <w:jc w:val="center"/>
        </w:trPr>
        <w:tc>
          <w:tcPr>
            <w:tcW w:w="6799" w:type="dxa"/>
            <w:shd w:val="clear" w:color="auto" w:fill="FFFFFF"/>
            <w:vAlign w:val="bottom"/>
          </w:tcPr>
          <w:p w14:paraId="58348B3A" w14:textId="52961162" w:rsidR="00413300" w:rsidRPr="003234C5" w:rsidRDefault="00413300" w:rsidP="00413300">
            <w:pPr>
              <w:spacing w:after="0"/>
              <w:jc w:val="both"/>
              <w:rPr>
                <w:rFonts w:ascii="Arial" w:hAnsi="Arial" w:cs="Arial"/>
                <w:bCs/>
                <w:sz w:val="20"/>
                <w:szCs w:val="20"/>
              </w:rPr>
            </w:pPr>
            <w:r w:rsidRPr="003234C5">
              <w:rPr>
                <w:rFonts w:ascii="Arial" w:hAnsi="Arial" w:cs="Arial"/>
                <w:bCs/>
                <w:sz w:val="20"/>
                <w:szCs w:val="20"/>
              </w:rPr>
              <w:t>Cauções Contratuais</w:t>
            </w:r>
          </w:p>
        </w:tc>
        <w:tc>
          <w:tcPr>
            <w:tcW w:w="1134" w:type="dxa"/>
            <w:shd w:val="clear" w:color="auto" w:fill="FFFFFF"/>
            <w:vAlign w:val="center"/>
          </w:tcPr>
          <w:p w14:paraId="72CE09FB" w14:textId="4AF93869" w:rsidR="00413300" w:rsidRPr="003234C5" w:rsidRDefault="004924A2" w:rsidP="00413300">
            <w:pPr>
              <w:suppressAutoHyphens w:val="0"/>
              <w:spacing w:after="0" w:line="240" w:lineRule="auto"/>
              <w:jc w:val="right"/>
              <w:rPr>
                <w:rFonts w:ascii="Arial" w:hAnsi="Arial" w:cs="Arial"/>
                <w:sz w:val="20"/>
                <w:szCs w:val="20"/>
              </w:rPr>
            </w:pPr>
            <w:r>
              <w:rPr>
                <w:rFonts w:ascii="Arial" w:hAnsi="Arial" w:cs="Arial"/>
                <w:sz w:val="20"/>
                <w:szCs w:val="20"/>
              </w:rPr>
              <w:t>173</w:t>
            </w:r>
          </w:p>
        </w:tc>
        <w:tc>
          <w:tcPr>
            <w:tcW w:w="1128" w:type="dxa"/>
            <w:shd w:val="clear" w:color="auto" w:fill="FFFFFF"/>
            <w:vAlign w:val="center"/>
          </w:tcPr>
          <w:p w14:paraId="6561E12F" w14:textId="2F45CFF5" w:rsidR="00413300" w:rsidRPr="003234C5" w:rsidRDefault="00413300" w:rsidP="00413300">
            <w:pPr>
              <w:suppressAutoHyphens w:val="0"/>
              <w:spacing w:after="0" w:line="240" w:lineRule="auto"/>
              <w:jc w:val="right"/>
              <w:rPr>
                <w:rFonts w:ascii="Arial" w:hAnsi="Arial" w:cs="Arial"/>
                <w:sz w:val="20"/>
                <w:szCs w:val="20"/>
              </w:rPr>
            </w:pPr>
            <w:r w:rsidRPr="003234C5">
              <w:rPr>
                <w:rFonts w:ascii="Arial" w:hAnsi="Arial" w:cs="Arial"/>
                <w:color w:val="000000"/>
                <w:sz w:val="20"/>
                <w:szCs w:val="20"/>
              </w:rPr>
              <w:t>273</w:t>
            </w:r>
          </w:p>
        </w:tc>
      </w:tr>
      <w:tr w:rsidR="00413300" w:rsidRPr="003234C5" w14:paraId="7A4EBB4D" w14:textId="77777777" w:rsidTr="00C3673E">
        <w:trPr>
          <w:trHeight w:val="227"/>
          <w:jc w:val="center"/>
        </w:trPr>
        <w:tc>
          <w:tcPr>
            <w:tcW w:w="6799" w:type="dxa"/>
            <w:shd w:val="clear" w:color="auto" w:fill="FFFFFF"/>
            <w:vAlign w:val="bottom"/>
          </w:tcPr>
          <w:p w14:paraId="264BA53A" w14:textId="78F33E07" w:rsidR="00413300" w:rsidRPr="003234C5" w:rsidRDefault="00413300" w:rsidP="00413300">
            <w:pPr>
              <w:suppressAutoHyphens w:val="0"/>
              <w:spacing w:after="0" w:line="240" w:lineRule="auto"/>
              <w:jc w:val="both"/>
              <w:rPr>
                <w:rFonts w:ascii="Arial" w:eastAsia="Times New Roman" w:hAnsi="Arial" w:cs="Arial"/>
                <w:color w:val="000000"/>
                <w:kern w:val="0"/>
                <w:sz w:val="20"/>
                <w:szCs w:val="20"/>
                <w:lang w:eastAsia="pt-BR"/>
              </w:rPr>
            </w:pPr>
            <w:r w:rsidRPr="003234C5">
              <w:rPr>
                <w:rFonts w:ascii="Arial" w:hAnsi="Arial" w:cs="Arial"/>
                <w:color w:val="000000"/>
                <w:sz w:val="20"/>
                <w:szCs w:val="20"/>
              </w:rPr>
              <w:t>Valores em controvérsia – Termelétrica</w:t>
            </w:r>
            <w:r w:rsidR="00520B0A">
              <w:rPr>
                <w:rFonts w:ascii="Arial" w:hAnsi="Arial" w:cs="Arial"/>
                <w:color w:val="000000"/>
                <w:sz w:val="20"/>
                <w:szCs w:val="20"/>
              </w:rPr>
              <w:t xml:space="preserve"> (Nota 10)</w:t>
            </w:r>
          </w:p>
        </w:tc>
        <w:tc>
          <w:tcPr>
            <w:tcW w:w="1134" w:type="dxa"/>
            <w:shd w:val="clear" w:color="auto" w:fill="FFFFFF"/>
            <w:vAlign w:val="center"/>
          </w:tcPr>
          <w:p w14:paraId="3F0E6655" w14:textId="3E51C518" w:rsidR="00413300" w:rsidRPr="003234C5" w:rsidRDefault="004924A2" w:rsidP="00413300">
            <w:pPr>
              <w:suppressAutoHyphens w:val="0"/>
              <w:spacing w:after="0" w:line="240" w:lineRule="auto"/>
              <w:jc w:val="right"/>
              <w:rPr>
                <w:rFonts w:ascii="Arial" w:hAnsi="Arial" w:cs="Arial"/>
                <w:sz w:val="20"/>
                <w:szCs w:val="20"/>
              </w:rPr>
            </w:pPr>
            <w:r>
              <w:rPr>
                <w:rFonts w:ascii="Arial" w:hAnsi="Arial" w:cs="Arial"/>
                <w:sz w:val="20"/>
                <w:szCs w:val="20"/>
              </w:rPr>
              <w:t>1.110</w:t>
            </w:r>
          </w:p>
        </w:tc>
        <w:tc>
          <w:tcPr>
            <w:tcW w:w="1128" w:type="dxa"/>
            <w:shd w:val="clear" w:color="auto" w:fill="FFFFFF"/>
            <w:vAlign w:val="center"/>
          </w:tcPr>
          <w:p w14:paraId="26789090" w14:textId="418A5132" w:rsidR="00413300" w:rsidRPr="003234C5" w:rsidRDefault="00413300" w:rsidP="00413300">
            <w:pPr>
              <w:suppressAutoHyphens w:val="0"/>
              <w:spacing w:after="0" w:line="240" w:lineRule="auto"/>
              <w:jc w:val="right"/>
              <w:rPr>
                <w:rFonts w:ascii="Arial" w:hAnsi="Arial" w:cs="Arial"/>
                <w:sz w:val="20"/>
                <w:szCs w:val="20"/>
              </w:rPr>
            </w:pPr>
            <w:r w:rsidRPr="003234C5">
              <w:rPr>
                <w:rFonts w:ascii="Arial" w:hAnsi="Arial" w:cs="Arial"/>
                <w:color w:val="000000"/>
                <w:sz w:val="20"/>
                <w:szCs w:val="20"/>
              </w:rPr>
              <w:t>1.110</w:t>
            </w:r>
          </w:p>
        </w:tc>
      </w:tr>
      <w:tr w:rsidR="004924A2" w:rsidRPr="003234C5" w14:paraId="7833A530" w14:textId="77777777" w:rsidTr="00C3673E">
        <w:trPr>
          <w:trHeight w:val="227"/>
          <w:jc w:val="center"/>
        </w:trPr>
        <w:tc>
          <w:tcPr>
            <w:tcW w:w="6799" w:type="dxa"/>
            <w:shd w:val="clear" w:color="auto" w:fill="FFFFFF"/>
            <w:vAlign w:val="bottom"/>
          </w:tcPr>
          <w:p w14:paraId="11EBBB9C" w14:textId="246C94C6" w:rsidR="004924A2" w:rsidRPr="003234C5" w:rsidRDefault="004924A2" w:rsidP="00413300">
            <w:pPr>
              <w:suppressAutoHyphens w:val="0"/>
              <w:spacing w:after="0" w:line="240" w:lineRule="auto"/>
              <w:jc w:val="both"/>
              <w:rPr>
                <w:rFonts w:ascii="Arial" w:hAnsi="Arial" w:cs="Arial"/>
                <w:color w:val="000000"/>
                <w:sz w:val="20"/>
                <w:szCs w:val="20"/>
              </w:rPr>
            </w:pPr>
            <w:r>
              <w:rPr>
                <w:rFonts w:ascii="Arial" w:hAnsi="Arial" w:cs="Arial"/>
                <w:color w:val="000000"/>
                <w:sz w:val="20"/>
                <w:szCs w:val="20"/>
              </w:rPr>
              <w:t>Outros Passivos</w:t>
            </w:r>
          </w:p>
        </w:tc>
        <w:tc>
          <w:tcPr>
            <w:tcW w:w="1134" w:type="dxa"/>
            <w:shd w:val="clear" w:color="auto" w:fill="FFFFFF"/>
            <w:vAlign w:val="center"/>
          </w:tcPr>
          <w:p w14:paraId="1B88FB48" w14:textId="749431B7" w:rsidR="004924A2" w:rsidRDefault="004924A2" w:rsidP="00413300">
            <w:pPr>
              <w:suppressAutoHyphens w:val="0"/>
              <w:spacing w:after="0" w:line="240" w:lineRule="auto"/>
              <w:jc w:val="right"/>
              <w:rPr>
                <w:rFonts w:ascii="Arial" w:hAnsi="Arial" w:cs="Arial"/>
                <w:sz w:val="20"/>
                <w:szCs w:val="20"/>
              </w:rPr>
            </w:pPr>
            <w:r>
              <w:rPr>
                <w:rFonts w:ascii="Arial" w:hAnsi="Arial" w:cs="Arial"/>
                <w:sz w:val="20"/>
                <w:szCs w:val="20"/>
              </w:rPr>
              <w:t>1</w:t>
            </w:r>
          </w:p>
        </w:tc>
        <w:tc>
          <w:tcPr>
            <w:tcW w:w="1128" w:type="dxa"/>
            <w:shd w:val="clear" w:color="auto" w:fill="FFFFFF"/>
            <w:vAlign w:val="center"/>
          </w:tcPr>
          <w:p w14:paraId="711CC80E" w14:textId="744425C0" w:rsidR="004924A2" w:rsidRPr="003234C5" w:rsidRDefault="004924A2" w:rsidP="00413300">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w:t>
            </w:r>
          </w:p>
        </w:tc>
      </w:tr>
      <w:tr w:rsidR="00413300" w:rsidRPr="003234C5" w14:paraId="00C626A3" w14:textId="77777777" w:rsidTr="00C3673E">
        <w:trPr>
          <w:trHeight w:val="227"/>
          <w:jc w:val="center"/>
        </w:trPr>
        <w:tc>
          <w:tcPr>
            <w:tcW w:w="6799" w:type="dxa"/>
            <w:shd w:val="clear" w:color="auto" w:fill="C0C0C0"/>
            <w:vAlign w:val="bottom"/>
          </w:tcPr>
          <w:p w14:paraId="523AB4AA" w14:textId="77777777" w:rsidR="00413300" w:rsidRPr="003234C5" w:rsidRDefault="00413300" w:rsidP="00413300">
            <w:pPr>
              <w:autoSpaceDE w:val="0"/>
              <w:autoSpaceDN w:val="0"/>
              <w:adjustRightInd w:val="0"/>
              <w:spacing w:after="0"/>
              <w:jc w:val="both"/>
              <w:rPr>
                <w:rFonts w:ascii="Arial" w:hAnsi="Arial" w:cs="Arial"/>
                <w:b/>
                <w:sz w:val="20"/>
                <w:szCs w:val="20"/>
              </w:rPr>
            </w:pPr>
            <w:r w:rsidRPr="003234C5">
              <w:rPr>
                <w:rFonts w:ascii="Arial" w:hAnsi="Arial" w:cs="Arial"/>
                <w:b/>
                <w:sz w:val="20"/>
                <w:szCs w:val="20"/>
              </w:rPr>
              <w:t>SALDO FINAL</w:t>
            </w:r>
          </w:p>
        </w:tc>
        <w:tc>
          <w:tcPr>
            <w:tcW w:w="1134" w:type="dxa"/>
            <w:shd w:val="clear" w:color="auto" w:fill="C0C0C0"/>
            <w:vAlign w:val="center"/>
          </w:tcPr>
          <w:p w14:paraId="3131C430" w14:textId="7CC5EC5D" w:rsidR="00413300" w:rsidRPr="003234C5" w:rsidRDefault="004924A2" w:rsidP="00413300">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1.319</w:t>
            </w:r>
          </w:p>
        </w:tc>
        <w:tc>
          <w:tcPr>
            <w:tcW w:w="1128" w:type="dxa"/>
            <w:shd w:val="clear" w:color="auto" w:fill="C0C0C0"/>
            <w:vAlign w:val="center"/>
          </w:tcPr>
          <w:p w14:paraId="5D402487" w14:textId="0E48A871" w:rsidR="00413300" w:rsidRPr="003234C5" w:rsidRDefault="00413300" w:rsidP="00413300">
            <w:pPr>
              <w:autoSpaceDE w:val="0"/>
              <w:autoSpaceDN w:val="0"/>
              <w:adjustRightInd w:val="0"/>
              <w:spacing w:after="0"/>
              <w:jc w:val="right"/>
              <w:rPr>
                <w:rFonts w:ascii="Arial" w:hAnsi="Arial" w:cs="Arial"/>
                <w:b/>
                <w:sz w:val="20"/>
                <w:szCs w:val="20"/>
              </w:rPr>
            </w:pPr>
            <w:r w:rsidRPr="003234C5">
              <w:rPr>
                <w:rFonts w:ascii="Arial" w:hAnsi="Arial" w:cs="Arial"/>
                <w:b/>
                <w:bCs/>
                <w:color w:val="000000"/>
                <w:sz w:val="20"/>
                <w:szCs w:val="20"/>
              </w:rPr>
              <w:t>1.418</w:t>
            </w:r>
          </w:p>
        </w:tc>
      </w:tr>
    </w:tbl>
    <w:p w14:paraId="4CC4FBA7" w14:textId="77777777" w:rsidR="00A974CD" w:rsidRPr="003234C5" w:rsidRDefault="00A974CD" w:rsidP="00216C47">
      <w:pPr>
        <w:spacing w:after="0"/>
        <w:jc w:val="both"/>
        <w:rPr>
          <w:rFonts w:ascii="Arial" w:hAnsi="Arial" w:cs="Arial"/>
          <w:sz w:val="24"/>
          <w:szCs w:val="24"/>
        </w:rPr>
      </w:pP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9"/>
        <w:gridCol w:w="1134"/>
        <w:gridCol w:w="1128"/>
      </w:tblGrid>
      <w:tr w:rsidR="00B35BBC" w:rsidRPr="003234C5" w14:paraId="328B3850" w14:textId="77777777" w:rsidTr="00C3673E">
        <w:trPr>
          <w:trHeight w:val="227"/>
          <w:jc w:val="center"/>
        </w:trPr>
        <w:tc>
          <w:tcPr>
            <w:tcW w:w="6799" w:type="dxa"/>
            <w:shd w:val="clear" w:color="auto" w:fill="C0C0C0"/>
            <w:vAlign w:val="center"/>
          </w:tcPr>
          <w:p w14:paraId="3BF7179A" w14:textId="77777777" w:rsidR="00B35BBC" w:rsidRPr="003234C5" w:rsidRDefault="00B35BBC" w:rsidP="00B35BBC">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NÃO CIRCULANTE</w:t>
            </w:r>
          </w:p>
        </w:tc>
        <w:tc>
          <w:tcPr>
            <w:tcW w:w="1134" w:type="dxa"/>
            <w:shd w:val="clear" w:color="auto" w:fill="C0C0C0"/>
            <w:vAlign w:val="bottom"/>
          </w:tcPr>
          <w:p w14:paraId="11513D66" w14:textId="42204582" w:rsidR="00B35BBC" w:rsidRPr="003234C5" w:rsidRDefault="00C6257E" w:rsidP="00B35BBC">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128" w:type="dxa"/>
            <w:shd w:val="clear" w:color="auto" w:fill="C0C0C0"/>
            <w:vAlign w:val="bottom"/>
          </w:tcPr>
          <w:p w14:paraId="74AD2C59" w14:textId="454EAAD6" w:rsidR="00B35BBC" w:rsidRPr="003234C5" w:rsidRDefault="00C6257E" w:rsidP="00B35BBC">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310421" w:rsidRPr="003234C5" w14:paraId="534DAC99" w14:textId="77777777" w:rsidTr="00C3673E">
        <w:trPr>
          <w:trHeight w:val="227"/>
          <w:jc w:val="center"/>
        </w:trPr>
        <w:tc>
          <w:tcPr>
            <w:tcW w:w="6799" w:type="dxa"/>
            <w:shd w:val="clear" w:color="auto" w:fill="FFFFFF"/>
            <w:vAlign w:val="bottom"/>
          </w:tcPr>
          <w:p w14:paraId="21FC10C8" w14:textId="77777777" w:rsidR="00310421" w:rsidRPr="003234C5" w:rsidRDefault="00310421" w:rsidP="00310421">
            <w:pPr>
              <w:spacing w:after="0"/>
              <w:jc w:val="both"/>
              <w:rPr>
                <w:rFonts w:ascii="Arial" w:hAnsi="Arial" w:cs="Arial"/>
                <w:bCs/>
                <w:sz w:val="20"/>
                <w:szCs w:val="20"/>
              </w:rPr>
            </w:pPr>
            <w:r w:rsidRPr="003234C5">
              <w:rPr>
                <w:rFonts w:ascii="Arial" w:hAnsi="Arial" w:cs="Arial"/>
                <w:bCs/>
                <w:sz w:val="20"/>
                <w:szCs w:val="20"/>
              </w:rPr>
              <w:t>Subvenções de investimentos a apropriar</w:t>
            </w:r>
          </w:p>
        </w:tc>
        <w:tc>
          <w:tcPr>
            <w:tcW w:w="1134" w:type="dxa"/>
            <w:shd w:val="clear" w:color="auto" w:fill="FFFFFF"/>
            <w:vAlign w:val="center"/>
          </w:tcPr>
          <w:p w14:paraId="5E1C9994" w14:textId="430C0CF2" w:rsidR="00310421" w:rsidRPr="003234C5" w:rsidRDefault="004A0479" w:rsidP="00310421">
            <w:pPr>
              <w:spacing w:after="0"/>
              <w:jc w:val="right"/>
              <w:rPr>
                <w:rFonts w:ascii="Arial" w:hAnsi="Arial" w:cs="Arial"/>
                <w:sz w:val="20"/>
                <w:szCs w:val="20"/>
              </w:rPr>
            </w:pPr>
            <w:r>
              <w:rPr>
                <w:rFonts w:ascii="Arial" w:hAnsi="Arial" w:cs="Arial"/>
                <w:sz w:val="20"/>
                <w:szCs w:val="20"/>
              </w:rPr>
              <w:t>67</w:t>
            </w:r>
          </w:p>
        </w:tc>
        <w:tc>
          <w:tcPr>
            <w:tcW w:w="1128" w:type="dxa"/>
            <w:shd w:val="clear" w:color="auto" w:fill="FFFFFF"/>
            <w:vAlign w:val="center"/>
          </w:tcPr>
          <w:p w14:paraId="0A3CA334" w14:textId="5ECE6062" w:rsidR="00310421" w:rsidRPr="003234C5" w:rsidRDefault="00310421" w:rsidP="00310421">
            <w:pPr>
              <w:spacing w:after="0"/>
              <w:jc w:val="right"/>
              <w:rPr>
                <w:rFonts w:ascii="Arial" w:hAnsi="Arial" w:cs="Arial"/>
                <w:sz w:val="20"/>
                <w:szCs w:val="20"/>
              </w:rPr>
            </w:pPr>
            <w:r w:rsidRPr="003234C5">
              <w:rPr>
                <w:rFonts w:ascii="Arial" w:hAnsi="Arial" w:cs="Arial"/>
                <w:color w:val="000000"/>
                <w:sz w:val="20"/>
                <w:szCs w:val="20"/>
              </w:rPr>
              <w:t>102</w:t>
            </w:r>
          </w:p>
        </w:tc>
      </w:tr>
      <w:tr w:rsidR="00310421" w:rsidRPr="003234C5" w14:paraId="09FBC445" w14:textId="77777777" w:rsidTr="00C3673E">
        <w:trPr>
          <w:trHeight w:val="227"/>
          <w:jc w:val="center"/>
        </w:trPr>
        <w:tc>
          <w:tcPr>
            <w:tcW w:w="6799" w:type="dxa"/>
            <w:shd w:val="clear" w:color="auto" w:fill="FFFFFF"/>
            <w:vAlign w:val="bottom"/>
          </w:tcPr>
          <w:p w14:paraId="65E357F3" w14:textId="77777777" w:rsidR="00310421" w:rsidRPr="003234C5" w:rsidRDefault="00310421" w:rsidP="00310421">
            <w:pPr>
              <w:spacing w:after="0"/>
              <w:jc w:val="both"/>
              <w:rPr>
                <w:rFonts w:ascii="Arial" w:hAnsi="Arial" w:cs="Arial"/>
                <w:bCs/>
                <w:sz w:val="20"/>
                <w:szCs w:val="20"/>
              </w:rPr>
            </w:pPr>
            <w:r w:rsidRPr="003234C5">
              <w:rPr>
                <w:rFonts w:ascii="Arial" w:hAnsi="Arial" w:cs="Arial"/>
                <w:bCs/>
                <w:sz w:val="20"/>
                <w:szCs w:val="20"/>
              </w:rPr>
              <w:t>Participação financeira de clientes</w:t>
            </w:r>
          </w:p>
        </w:tc>
        <w:tc>
          <w:tcPr>
            <w:tcW w:w="1134" w:type="dxa"/>
            <w:shd w:val="clear" w:color="auto" w:fill="FFFFFF"/>
            <w:vAlign w:val="center"/>
          </w:tcPr>
          <w:p w14:paraId="5DB1F478" w14:textId="078833CA" w:rsidR="004A0479" w:rsidRPr="003234C5" w:rsidRDefault="004A0479" w:rsidP="004A0479">
            <w:pPr>
              <w:suppressAutoHyphens w:val="0"/>
              <w:spacing w:after="0" w:line="240" w:lineRule="auto"/>
              <w:jc w:val="right"/>
              <w:rPr>
                <w:rFonts w:ascii="Arial" w:hAnsi="Arial" w:cs="Arial"/>
                <w:sz w:val="20"/>
                <w:szCs w:val="20"/>
              </w:rPr>
            </w:pPr>
            <w:r>
              <w:rPr>
                <w:rFonts w:ascii="Arial" w:hAnsi="Arial" w:cs="Arial"/>
                <w:sz w:val="20"/>
                <w:szCs w:val="20"/>
              </w:rPr>
              <w:t>150</w:t>
            </w:r>
          </w:p>
        </w:tc>
        <w:tc>
          <w:tcPr>
            <w:tcW w:w="1128" w:type="dxa"/>
            <w:shd w:val="clear" w:color="auto" w:fill="FFFFFF"/>
            <w:vAlign w:val="center"/>
          </w:tcPr>
          <w:p w14:paraId="0EFC8EB7" w14:textId="3031C779" w:rsidR="00310421" w:rsidRPr="003234C5" w:rsidRDefault="00310421" w:rsidP="00310421">
            <w:pPr>
              <w:suppressAutoHyphens w:val="0"/>
              <w:spacing w:after="0" w:line="240" w:lineRule="auto"/>
              <w:jc w:val="right"/>
              <w:rPr>
                <w:rFonts w:ascii="Arial" w:hAnsi="Arial" w:cs="Arial"/>
                <w:sz w:val="20"/>
                <w:szCs w:val="20"/>
              </w:rPr>
            </w:pPr>
            <w:r w:rsidRPr="003234C5">
              <w:rPr>
                <w:rFonts w:ascii="Arial" w:hAnsi="Arial" w:cs="Arial"/>
                <w:color w:val="000000"/>
                <w:sz w:val="20"/>
                <w:szCs w:val="20"/>
              </w:rPr>
              <w:t>165</w:t>
            </w:r>
          </w:p>
        </w:tc>
      </w:tr>
      <w:tr w:rsidR="00310421" w:rsidRPr="003234C5" w14:paraId="302A1E32" w14:textId="77777777" w:rsidTr="00C3673E">
        <w:trPr>
          <w:trHeight w:val="227"/>
          <w:jc w:val="center"/>
        </w:trPr>
        <w:tc>
          <w:tcPr>
            <w:tcW w:w="6799" w:type="dxa"/>
            <w:shd w:val="clear" w:color="auto" w:fill="C0C0C0"/>
            <w:vAlign w:val="bottom"/>
          </w:tcPr>
          <w:p w14:paraId="1AA550FA" w14:textId="77777777" w:rsidR="00310421" w:rsidRPr="003234C5" w:rsidRDefault="00310421" w:rsidP="0031042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SALDO FINAL</w:t>
            </w:r>
          </w:p>
        </w:tc>
        <w:tc>
          <w:tcPr>
            <w:tcW w:w="1134" w:type="dxa"/>
            <w:shd w:val="clear" w:color="auto" w:fill="C0C0C0"/>
            <w:vAlign w:val="center"/>
          </w:tcPr>
          <w:p w14:paraId="53204C5A" w14:textId="149CC1DF" w:rsidR="00310421" w:rsidRPr="003234C5" w:rsidRDefault="004A0479" w:rsidP="00310421">
            <w:pPr>
              <w:autoSpaceDE w:val="0"/>
              <w:autoSpaceDN w:val="0"/>
              <w:adjustRightInd w:val="0"/>
              <w:spacing w:after="0"/>
              <w:jc w:val="right"/>
              <w:rPr>
                <w:rFonts w:ascii="Arial" w:hAnsi="Arial" w:cs="Arial"/>
                <w:b/>
                <w:sz w:val="20"/>
                <w:szCs w:val="20"/>
              </w:rPr>
            </w:pPr>
            <w:r>
              <w:rPr>
                <w:rFonts w:ascii="Arial" w:hAnsi="Arial" w:cs="Arial"/>
                <w:b/>
                <w:sz w:val="20"/>
                <w:szCs w:val="20"/>
              </w:rPr>
              <w:t>217</w:t>
            </w:r>
          </w:p>
        </w:tc>
        <w:tc>
          <w:tcPr>
            <w:tcW w:w="1128" w:type="dxa"/>
            <w:shd w:val="clear" w:color="auto" w:fill="C0C0C0"/>
            <w:vAlign w:val="center"/>
          </w:tcPr>
          <w:p w14:paraId="191E081E" w14:textId="434F4769" w:rsidR="00310421" w:rsidRPr="003234C5" w:rsidRDefault="00310421" w:rsidP="00310421">
            <w:pPr>
              <w:autoSpaceDE w:val="0"/>
              <w:autoSpaceDN w:val="0"/>
              <w:adjustRightInd w:val="0"/>
              <w:spacing w:after="0"/>
              <w:jc w:val="right"/>
              <w:rPr>
                <w:rFonts w:ascii="Arial" w:hAnsi="Arial" w:cs="Arial"/>
                <w:b/>
                <w:sz w:val="20"/>
                <w:szCs w:val="20"/>
              </w:rPr>
            </w:pPr>
            <w:r w:rsidRPr="003234C5">
              <w:rPr>
                <w:rFonts w:ascii="Arial" w:hAnsi="Arial" w:cs="Arial"/>
                <w:b/>
                <w:bCs/>
                <w:color w:val="000000"/>
                <w:sz w:val="20"/>
                <w:szCs w:val="20"/>
              </w:rPr>
              <w:t>267</w:t>
            </w:r>
          </w:p>
        </w:tc>
      </w:tr>
    </w:tbl>
    <w:p w14:paraId="5AD53FF3" w14:textId="77777777" w:rsidR="00A974CD" w:rsidRPr="003234C5" w:rsidRDefault="00A974CD" w:rsidP="00216C47">
      <w:pPr>
        <w:spacing w:after="0"/>
        <w:jc w:val="both"/>
        <w:rPr>
          <w:rFonts w:ascii="Arial" w:hAnsi="Arial" w:cs="Arial"/>
        </w:rPr>
      </w:pPr>
    </w:p>
    <w:p w14:paraId="42033AAC" w14:textId="160FB7A1" w:rsidR="00A974CD" w:rsidRPr="003234C5" w:rsidRDefault="00A974CD" w:rsidP="00216C47">
      <w:pPr>
        <w:spacing w:after="120"/>
        <w:jc w:val="both"/>
        <w:rPr>
          <w:rFonts w:ascii="Arial" w:hAnsi="Arial" w:cs="Arial"/>
        </w:rPr>
      </w:pPr>
      <w:r w:rsidRPr="003234C5">
        <w:rPr>
          <w:rFonts w:ascii="Arial" w:hAnsi="Arial" w:cs="Arial"/>
        </w:rPr>
        <w:t>Com relação às subvenções, a Companhia recebeu, no ano de 2012, a título de doação da Prefeitura de Aquiraz, um terreno avaliado em R$ 35</w:t>
      </w:r>
      <w:r w:rsidR="000A5CD4">
        <w:rPr>
          <w:rFonts w:ascii="Arial" w:hAnsi="Arial" w:cs="Arial"/>
        </w:rPr>
        <w:t>0</w:t>
      </w:r>
      <w:r w:rsidRPr="003234C5">
        <w:rPr>
          <w:rFonts w:ascii="Arial" w:hAnsi="Arial" w:cs="Arial"/>
        </w:rPr>
        <w:t xml:space="preserve">, estando destinado à construção de um ponto de transferência de gás da Petrobras para a </w:t>
      </w:r>
      <w:r w:rsidR="00F71A6C" w:rsidRPr="003234C5">
        <w:rPr>
          <w:rFonts w:ascii="Arial" w:hAnsi="Arial" w:cs="Arial"/>
        </w:rPr>
        <w:t>CEGÁS</w:t>
      </w:r>
      <w:r w:rsidRPr="003234C5">
        <w:rPr>
          <w:rFonts w:ascii="Arial" w:hAnsi="Arial" w:cs="Arial"/>
        </w:rPr>
        <w:t xml:space="preserve"> e à construção de uma estação de </w:t>
      </w:r>
      <w:proofErr w:type="spellStart"/>
      <w:r w:rsidRPr="003234C5">
        <w:rPr>
          <w:rFonts w:ascii="Arial" w:hAnsi="Arial" w:cs="Arial"/>
        </w:rPr>
        <w:t>odorização</w:t>
      </w:r>
      <w:proofErr w:type="spellEnd"/>
      <w:r w:rsidRPr="003234C5">
        <w:rPr>
          <w:rFonts w:ascii="Arial" w:hAnsi="Arial" w:cs="Arial"/>
        </w:rPr>
        <w:t xml:space="preserve"> de gás natural. </w:t>
      </w:r>
    </w:p>
    <w:p w14:paraId="10EEB9D2" w14:textId="77777777" w:rsidR="00A974CD" w:rsidRPr="003234C5" w:rsidRDefault="00A974CD" w:rsidP="00A974CD">
      <w:pPr>
        <w:tabs>
          <w:tab w:val="num" w:pos="0"/>
        </w:tabs>
        <w:jc w:val="both"/>
        <w:rPr>
          <w:rFonts w:ascii="Arial" w:hAnsi="Arial" w:cs="Arial"/>
        </w:rPr>
      </w:pPr>
      <w:r w:rsidRPr="003234C5">
        <w:rPr>
          <w:rFonts w:ascii="Arial" w:hAnsi="Arial" w:cs="Arial"/>
        </w:rPr>
        <w:t xml:space="preserve">Para a concretização da doação foram listados na escritura os seguintes condicionantes: o terreno deverá ser utilizado exclusivamente para a atividade comercial e/ou industrial da companhia; a construção deve ser iniciada em até 180 (cento e oitenta) dias da data da </w:t>
      </w:r>
      <w:r w:rsidRPr="003234C5">
        <w:rPr>
          <w:rFonts w:ascii="Arial" w:hAnsi="Arial" w:cs="Arial"/>
        </w:rPr>
        <w:lastRenderedPageBreak/>
        <w:t>doação; devem ser cumpridas normas ambientais do município; a Companhia deverá contratar para trabalhar no empreendimento, preferencialmente, mão de obra local; está vedada a transferência, onerosa ou gratuita pelo prazo de 10 (dez) anos do terreno, e no caso de falência dentro do prazo de 10 (dez) anos, o terreno deverá ser devolvido ao município. A Companhia implementou todas as ações necessárias para o cumprimento do contrato de doação.</w:t>
      </w:r>
    </w:p>
    <w:p w14:paraId="20FDE35D" w14:textId="52B4E08A" w:rsidR="001B76BC" w:rsidRDefault="00A974CD" w:rsidP="00A974CD">
      <w:pPr>
        <w:widowControl w:val="0"/>
        <w:jc w:val="both"/>
        <w:rPr>
          <w:rFonts w:ascii="Arial" w:hAnsi="Arial" w:cs="Arial"/>
        </w:rPr>
      </w:pPr>
      <w:r w:rsidRPr="003234C5">
        <w:rPr>
          <w:rFonts w:ascii="Arial" w:hAnsi="Arial" w:cs="Arial"/>
        </w:rPr>
        <w:t xml:space="preserve">Desta forma, em virtude das cláusulas contratuais condicionantes e por força das orientações dadas pela Interpretação Técnica ICPC 01 (R1), que determina que os ativos da Companhia sejam registrados no Ativo Intangível, o Terreno foi registrado na rubrica contábil: “Ativo Intangível” em contrapartida da rubrica contábil “Subvenções de Incentivo a Apropriar”, no Passivo. O reconhecimento da Receita de Doação foi apropriado ao resultado na parcela equivalente à amortização do período de acordo com a legislação vigente. Desta forma, foi reconhecido como </w:t>
      </w:r>
      <w:r w:rsidRPr="00196EF4">
        <w:rPr>
          <w:rFonts w:ascii="Arial" w:hAnsi="Arial" w:cs="Arial"/>
        </w:rPr>
        <w:t>receita em 201</w:t>
      </w:r>
      <w:r w:rsidR="004F2354" w:rsidRPr="00196EF4">
        <w:rPr>
          <w:rFonts w:ascii="Arial" w:hAnsi="Arial" w:cs="Arial"/>
        </w:rPr>
        <w:t>9</w:t>
      </w:r>
      <w:r w:rsidRPr="00196EF4">
        <w:rPr>
          <w:rFonts w:ascii="Arial" w:hAnsi="Arial" w:cs="Arial"/>
        </w:rPr>
        <w:t xml:space="preserve"> o montante de R$ </w:t>
      </w:r>
      <w:r w:rsidR="00CA5F21">
        <w:rPr>
          <w:rFonts w:ascii="Arial" w:hAnsi="Arial" w:cs="Arial"/>
        </w:rPr>
        <w:t>35</w:t>
      </w:r>
      <w:r w:rsidRPr="003234C5">
        <w:rPr>
          <w:rFonts w:ascii="Arial" w:hAnsi="Arial" w:cs="Arial"/>
        </w:rPr>
        <w:t>.</w:t>
      </w:r>
    </w:p>
    <w:p w14:paraId="57D0FF64" w14:textId="72EFF196" w:rsidR="00C62487" w:rsidRDefault="00520B0A" w:rsidP="00A974CD">
      <w:pPr>
        <w:widowControl w:val="0"/>
        <w:jc w:val="both"/>
        <w:rPr>
          <w:rFonts w:ascii="Arial" w:hAnsi="Arial" w:cs="Arial"/>
        </w:rPr>
      </w:pPr>
      <w:r>
        <w:rPr>
          <w:rFonts w:ascii="Arial" w:hAnsi="Arial" w:cs="Arial"/>
        </w:rPr>
        <w:t xml:space="preserve">Em relação aos Valores em controvérsia – Termelétrica, tal fato está evidenciado na Nota 10.  </w:t>
      </w:r>
    </w:p>
    <w:p w14:paraId="07A1E4D9" w14:textId="2BA10EC1" w:rsidR="00200682" w:rsidRPr="003234C5" w:rsidRDefault="00200682" w:rsidP="00200682">
      <w:pPr>
        <w:widowControl w:val="0"/>
        <w:jc w:val="both"/>
        <w:rPr>
          <w:rFonts w:ascii="Arial" w:hAnsi="Arial" w:cs="Arial"/>
          <w:b/>
        </w:rPr>
      </w:pPr>
      <w:r w:rsidRPr="003234C5">
        <w:rPr>
          <w:rFonts w:ascii="Arial" w:hAnsi="Arial" w:cs="Arial"/>
          <w:b/>
        </w:rPr>
        <w:t xml:space="preserve">NOTA </w:t>
      </w:r>
      <w:r w:rsidR="00895647" w:rsidRPr="003234C5">
        <w:rPr>
          <w:rFonts w:ascii="Arial" w:hAnsi="Arial" w:cs="Arial"/>
          <w:b/>
        </w:rPr>
        <w:t>2</w:t>
      </w:r>
      <w:r w:rsidR="00AF66F9">
        <w:rPr>
          <w:rFonts w:ascii="Arial" w:hAnsi="Arial" w:cs="Arial"/>
          <w:b/>
        </w:rPr>
        <w:t>4</w:t>
      </w:r>
      <w:r w:rsidRPr="003234C5">
        <w:rPr>
          <w:rFonts w:ascii="Arial" w:hAnsi="Arial" w:cs="Arial"/>
          <w:b/>
        </w:rPr>
        <w:t>. PROVISÃO PARA CONTINGÊNCIAS</w:t>
      </w:r>
    </w:p>
    <w:p w14:paraId="68D51F0A" w14:textId="6A9D3421" w:rsidR="00200682" w:rsidRPr="003234C5" w:rsidRDefault="00200682" w:rsidP="00014E98">
      <w:pPr>
        <w:spacing w:after="240"/>
        <w:jc w:val="both"/>
        <w:rPr>
          <w:rFonts w:ascii="Arial" w:hAnsi="Arial" w:cs="Arial"/>
        </w:rPr>
      </w:pPr>
      <w:r w:rsidRPr="003234C5">
        <w:rPr>
          <w:rFonts w:ascii="Arial" w:hAnsi="Arial" w:cs="Arial"/>
        </w:rPr>
        <w:t xml:space="preserve">As provisões para contingências registradas pela </w:t>
      </w:r>
      <w:r w:rsidR="00F71A6C" w:rsidRPr="003234C5">
        <w:rPr>
          <w:rFonts w:ascii="Arial" w:hAnsi="Arial" w:cs="Arial"/>
        </w:rPr>
        <w:t>CEGÁS</w:t>
      </w:r>
      <w:r w:rsidR="00A912FF" w:rsidRPr="003234C5">
        <w:rPr>
          <w:rFonts w:ascii="Arial" w:hAnsi="Arial" w:cs="Arial"/>
        </w:rPr>
        <w:t>,</w:t>
      </w:r>
      <w:r w:rsidRPr="003234C5">
        <w:rPr>
          <w:rFonts w:ascii="Arial" w:hAnsi="Arial" w:cs="Arial"/>
        </w:rPr>
        <w:t xml:space="preserve"> com base na </w:t>
      </w:r>
      <w:hyperlink r:id="rId8" w:history="1">
        <w:r w:rsidRPr="003234C5">
          <w:rPr>
            <w:rFonts w:ascii="Arial" w:hAnsi="Arial" w:cs="Arial"/>
          </w:rPr>
          <w:t>NBC TG 25 (R2)</w:t>
        </w:r>
      </w:hyperlink>
      <w:r w:rsidRPr="003234C5">
        <w:rPr>
          <w:rFonts w:ascii="Arial" w:hAnsi="Arial" w:cs="Arial"/>
        </w:rPr>
        <w:t xml:space="preserve"> e parecer técnico da assessoria jurídica</w:t>
      </w:r>
      <w:r w:rsidR="00A912FF" w:rsidRPr="003234C5">
        <w:rPr>
          <w:rFonts w:ascii="Arial" w:hAnsi="Arial" w:cs="Arial"/>
        </w:rPr>
        <w:t>,</w:t>
      </w:r>
      <w:r w:rsidRPr="003234C5">
        <w:rPr>
          <w:rFonts w:ascii="Arial" w:hAnsi="Arial" w:cs="Arial"/>
        </w:rPr>
        <w:t xml:space="preserve"> no montante de R$ </w:t>
      </w:r>
      <w:r w:rsidR="00423CE4" w:rsidRPr="003234C5">
        <w:rPr>
          <w:rFonts w:ascii="Arial" w:hAnsi="Arial" w:cs="Arial"/>
        </w:rPr>
        <w:t>4</w:t>
      </w:r>
      <w:r w:rsidR="00AF66F9">
        <w:rPr>
          <w:rFonts w:ascii="Arial" w:hAnsi="Arial" w:cs="Arial"/>
        </w:rPr>
        <w:t>7</w:t>
      </w:r>
      <w:r w:rsidR="00423CE4" w:rsidRPr="003234C5">
        <w:rPr>
          <w:rFonts w:ascii="Arial" w:hAnsi="Arial" w:cs="Arial"/>
        </w:rPr>
        <w:t>.</w:t>
      </w:r>
      <w:r w:rsidR="00AF66F9">
        <w:rPr>
          <w:rFonts w:ascii="Arial" w:hAnsi="Arial" w:cs="Arial"/>
        </w:rPr>
        <w:t>6</w:t>
      </w:r>
      <w:r w:rsidR="00321418">
        <w:rPr>
          <w:rFonts w:ascii="Arial" w:hAnsi="Arial" w:cs="Arial"/>
        </w:rPr>
        <w:t>85</w:t>
      </w:r>
      <w:r w:rsidR="00A912FF" w:rsidRPr="003234C5">
        <w:rPr>
          <w:rFonts w:ascii="Arial" w:hAnsi="Arial" w:cs="Arial"/>
        </w:rPr>
        <w:t>,</w:t>
      </w:r>
      <w:r w:rsidRPr="003234C5">
        <w:rPr>
          <w:rFonts w:ascii="Arial" w:hAnsi="Arial" w:cs="Arial"/>
        </w:rPr>
        <w:t xml:space="preserve"> referem-se a demandas judiciais de natureza cível, administrativa, tributária e trabalhista em que a Companhia figura como Ré.</w:t>
      </w:r>
    </w:p>
    <w:p w14:paraId="7A425531" w14:textId="07E27B92" w:rsidR="00F55F52" w:rsidRPr="003234C5" w:rsidRDefault="00200682" w:rsidP="00BD7282">
      <w:pPr>
        <w:spacing w:after="240"/>
        <w:jc w:val="both"/>
        <w:rPr>
          <w:rFonts w:ascii="Arial" w:hAnsi="Arial" w:cs="Arial"/>
        </w:rPr>
      </w:pPr>
      <w:r w:rsidRPr="003234C5">
        <w:rPr>
          <w:rFonts w:ascii="Arial" w:hAnsi="Arial" w:cs="Arial"/>
        </w:rPr>
        <w:t xml:space="preserve">As provisões para contingências julgadas pela </w:t>
      </w:r>
      <w:r w:rsidR="00C47E2F" w:rsidRPr="003234C5">
        <w:rPr>
          <w:rFonts w:ascii="Arial" w:hAnsi="Arial" w:cs="Arial"/>
        </w:rPr>
        <w:t>C</w:t>
      </w:r>
      <w:r w:rsidRPr="003234C5">
        <w:rPr>
          <w:rFonts w:ascii="Arial" w:hAnsi="Arial" w:cs="Arial"/>
        </w:rPr>
        <w:t>ompanhia com risco de perda provável estão evidenciadas no quadro abaixo:</w:t>
      </w: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8"/>
        <w:gridCol w:w="1680"/>
        <w:gridCol w:w="1681"/>
      </w:tblGrid>
      <w:tr w:rsidR="004F2354" w:rsidRPr="003234C5" w14:paraId="7EE9705D" w14:textId="77777777" w:rsidTr="00371FB1">
        <w:trPr>
          <w:trHeight w:val="255"/>
          <w:jc w:val="center"/>
        </w:trPr>
        <w:tc>
          <w:tcPr>
            <w:tcW w:w="5578" w:type="dxa"/>
            <w:shd w:val="clear" w:color="auto" w:fill="C0C0C0"/>
            <w:vAlign w:val="center"/>
          </w:tcPr>
          <w:p w14:paraId="1E0859FE" w14:textId="021E2C0E" w:rsidR="004F2354" w:rsidRPr="003234C5" w:rsidRDefault="004F2354" w:rsidP="004F2354">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w:t>
            </w:r>
            <w:r w:rsidR="00FD5C16">
              <w:rPr>
                <w:rFonts w:ascii="Arial" w:hAnsi="Arial" w:cs="Arial"/>
                <w:b/>
                <w:sz w:val="20"/>
                <w:szCs w:val="20"/>
              </w:rPr>
              <w:t xml:space="preserve"> </w:t>
            </w:r>
            <w:r w:rsidRPr="003234C5">
              <w:rPr>
                <w:rFonts w:ascii="Arial" w:hAnsi="Arial" w:cs="Arial"/>
                <w:b/>
                <w:sz w:val="20"/>
                <w:szCs w:val="20"/>
              </w:rPr>
              <w:t>CIRCULANTE</w:t>
            </w:r>
          </w:p>
        </w:tc>
        <w:tc>
          <w:tcPr>
            <w:tcW w:w="1680" w:type="dxa"/>
            <w:shd w:val="clear" w:color="auto" w:fill="C0C0C0"/>
            <w:vAlign w:val="bottom"/>
          </w:tcPr>
          <w:p w14:paraId="41712BA2" w14:textId="7DC733EB" w:rsidR="004F2354" w:rsidRPr="003234C5" w:rsidRDefault="00C6257E" w:rsidP="004F2354">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681" w:type="dxa"/>
            <w:shd w:val="clear" w:color="auto" w:fill="C0C0C0"/>
            <w:vAlign w:val="bottom"/>
          </w:tcPr>
          <w:p w14:paraId="2DA3C5D6" w14:textId="7948A28C" w:rsidR="004F2354" w:rsidRPr="003234C5" w:rsidRDefault="00C6257E" w:rsidP="004F2354">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2F280D" w:rsidRPr="003234C5" w14:paraId="39104017" w14:textId="77777777" w:rsidTr="00371FB1">
        <w:trPr>
          <w:trHeight w:val="255"/>
          <w:jc w:val="center"/>
        </w:trPr>
        <w:tc>
          <w:tcPr>
            <w:tcW w:w="5578" w:type="dxa"/>
            <w:shd w:val="clear" w:color="auto" w:fill="FFFFFF"/>
            <w:vAlign w:val="bottom"/>
          </w:tcPr>
          <w:p w14:paraId="5C88A6E1" w14:textId="5DED6C56" w:rsidR="002F280D" w:rsidRPr="003234C5" w:rsidRDefault="002F280D" w:rsidP="002F280D">
            <w:pPr>
              <w:spacing w:after="0"/>
              <w:jc w:val="both"/>
              <w:rPr>
                <w:rFonts w:ascii="Arial" w:hAnsi="Arial" w:cs="Arial"/>
                <w:bCs/>
                <w:sz w:val="20"/>
                <w:szCs w:val="20"/>
              </w:rPr>
            </w:pPr>
            <w:r w:rsidRPr="003234C5">
              <w:rPr>
                <w:rFonts w:ascii="Arial" w:hAnsi="Arial" w:cs="Arial"/>
                <w:bCs/>
                <w:sz w:val="20"/>
                <w:szCs w:val="20"/>
              </w:rPr>
              <w:t>Contingências Cíveis</w:t>
            </w:r>
          </w:p>
        </w:tc>
        <w:tc>
          <w:tcPr>
            <w:tcW w:w="1680" w:type="dxa"/>
            <w:shd w:val="clear" w:color="auto" w:fill="FFFFFF"/>
            <w:vAlign w:val="center"/>
          </w:tcPr>
          <w:p w14:paraId="0176F2C3" w14:textId="7C47711A" w:rsidR="002F280D" w:rsidRPr="003234C5" w:rsidRDefault="00DC7FF7" w:rsidP="002F280D">
            <w:pPr>
              <w:spacing w:after="0"/>
              <w:jc w:val="right"/>
              <w:rPr>
                <w:rFonts w:ascii="Arial" w:hAnsi="Arial" w:cs="Arial"/>
                <w:sz w:val="20"/>
                <w:szCs w:val="20"/>
              </w:rPr>
            </w:pPr>
            <w:r>
              <w:rPr>
                <w:rFonts w:ascii="Arial" w:hAnsi="Arial" w:cs="Arial"/>
                <w:sz w:val="20"/>
                <w:szCs w:val="20"/>
              </w:rPr>
              <w:t>7</w:t>
            </w:r>
          </w:p>
        </w:tc>
        <w:tc>
          <w:tcPr>
            <w:tcW w:w="1681" w:type="dxa"/>
            <w:shd w:val="clear" w:color="auto" w:fill="FFFFFF"/>
            <w:vAlign w:val="center"/>
          </w:tcPr>
          <w:p w14:paraId="4B4BE154" w14:textId="669CECCC" w:rsidR="002F280D" w:rsidRPr="003234C5" w:rsidRDefault="004F2354" w:rsidP="002F280D">
            <w:pPr>
              <w:spacing w:after="0"/>
              <w:jc w:val="right"/>
              <w:rPr>
                <w:rFonts w:ascii="Arial" w:hAnsi="Arial" w:cs="Arial"/>
                <w:sz w:val="20"/>
                <w:szCs w:val="20"/>
              </w:rPr>
            </w:pPr>
            <w:r w:rsidRPr="003234C5">
              <w:rPr>
                <w:rFonts w:ascii="Arial" w:hAnsi="Arial" w:cs="Arial"/>
                <w:sz w:val="20"/>
                <w:szCs w:val="20"/>
              </w:rPr>
              <w:t>6</w:t>
            </w:r>
          </w:p>
        </w:tc>
      </w:tr>
      <w:tr w:rsidR="002F280D" w:rsidRPr="003234C5" w14:paraId="0C87AA18" w14:textId="77777777" w:rsidTr="00371FB1">
        <w:trPr>
          <w:trHeight w:val="255"/>
          <w:jc w:val="center"/>
        </w:trPr>
        <w:tc>
          <w:tcPr>
            <w:tcW w:w="5578" w:type="dxa"/>
            <w:shd w:val="clear" w:color="auto" w:fill="C0C0C0"/>
            <w:vAlign w:val="center"/>
          </w:tcPr>
          <w:p w14:paraId="6104C2AC" w14:textId="77777777" w:rsidR="002F280D" w:rsidRPr="003234C5" w:rsidRDefault="002F280D" w:rsidP="002F280D">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680" w:type="dxa"/>
            <w:shd w:val="clear" w:color="auto" w:fill="C0C0C0"/>
            <w:vAlign w:val="center"/>
          </w:tcPr>
          <w:p w14:paraId="0EAD1C5A" w14:textId="202F228C" w:rsidR="002F280D" w:rsidRPr="003234C5" w:rsidRDefault="00177420" w:rsidP="002F280D">
            <w:pPr>
              <w:spacing w:after="0"/>
              <w:jc w:val="right"/>
              <w:rPr>
                <w:rFonts w:ascii="Arial" w:hAnsi="Arial" w:cs="Arial"/>
                <w:b/>
                <w:sz w:val="20"/>
                <w:szCs w:val="20"/>
              </w:rPr>
            </w:pPr>
            <w:r>
              <w:rPr>
                <w:rFonts w:ascii="Arial" w:hAnsi="Arial" w:cs="Arial"/>
                <w:b/>
                <w:sz w:val="20"/>
                <w:szCs w:val="20"/>
              </w:rPr>
              <w:t>7</w:t>
            </w:r>
          </w:p>
        </w:tc>
        <w:tc>
          <w:tcPr>
            <w:tcW w:w="1681" w:type="dxa"/>
            <w:shd w:val="clear" w:color="auto" w:fill="C0C0C0"/>
            <w:vAlign w:val="center"/>
          </w:tcPr>
          <w:p w14:paraId="22255056" w14:textId="6EF65CA8" w:rsidR="002F280D" w:rsidRPr="003234C5" w:rsidRDefault="004F2354" w:rsidP="002F280D">
            <w:pPr>
              <w:spacing w:after="0"/>
              <w:jc w:val="right"/>
              <w:rPr>
                <w:rFonts w:ascii="Arial" w:hAnsi="Arial" w:cs="Arial"/>
                <w:b/>
                <w:sz w:val="20"/>
                <w:szCs w:val="20"/>
              </w:rPr>
            </w:pPr>
            <w:r w:rsidRPr="003234C5">
              <w:rPr>
                <w:rFonts w:ascii="Arial" w:hAnsi="Arial" w:cs="Arial"/>
                <w:b/>
                <w:sz w:val="20"/>
                <w:szCs w:val="20"/>
              </w:rPr>
              <w:t>6</w:t>
            </w:r>
          </w:p>
        </w:tc>
      </w:tr>
    </w:tbl>
    <w:p w14:paraId="262EB907" w14:textId="77777777" w:rsidR="002F280D" w:rsidRPr="003234C5" w:rsidRDefault="002F280D" w:rsidP="00BD7282">
      <w:pPr>
        <w:spacing w:after="240"/>
        <w:jc w:val="both"/>
        <w:rPr>
          <w:rFonts w:ascii="Arial" w:hAnsi="Arial" w:cs="Arial"/>
          <w:sz w:val="24"/>
          <w:szCs w:val="24"/>
        </w:rPr>
      </w:pP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8"/>
        <w:gridCol w:w="1680"/>
        <w:gridCol w:w="1681"/>
      </w:tblGrid>
      <w:tr w:rsidR="004F2354" w:rsidRPr="003234C5" w14:paraId="0DF01294" w14:textId="77777777" w:rsidTr="00371FB1">
        <w:trPr>
          <w:trHeight w:val="255"/>
          <w:jc w:val="center"/>
        </w:trPr>
        <w:tc>
          <w:tcPr>
            <w:tcW w:w="5578" w:type="dxa"/>
            <w:shd w:val="clear" w:color="auto" w:fill="C0C0C0"/>
            <w:vAlign w:val="center"/>
          </w:tcPr>
          <w:p w14:paraId="659783D5" w14:textId="444E23CD" w:rsidR="004F2354" w:rsidRPr="003234C5" w:rsidRDefault="004F2354" w:rsidP="004F2354">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NÃO CIRCULANTE</w:t>
            </w:r>
          </w:p>
        </w:tc>
        <w:tc>
          <w:tcPr>
            <w:tcW w:w="1680" w:type="dxa"/>
            <w:shd w:val="clear" w:color="auto" w:fill="C0C0C0"/>
            <w:vAlign w:val="bottom"/>
          </w:tcPr>
          <w:p w14:paraId="00A97672" w14:textId="038B5765" w:rsidR="004F2354" w:rsidRPr="003234C5" w:rsidRDefault="00C6257E" w:rsidP="004F2354">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681" w:type="dxa"/>
            <w:shd w:val="clear" w:color="auto" w:fill="C0C0C0"/>
            <w:vAlign w:val="bottom"/>
          </w:tcPr>
          <w:p w14:paraId="0031B4C1" w14:textId="39E5D194" w:rsidR="004F2354" w:rsidRPr="003234C5" w:rsidRDefault="00C6257E" w:rsidP="004F2354">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310421" w:rsidRPr="003234C5" w14:paraId="38294742" w14:textId="77777777" w:rsidTr="00371FB1">
        <w:trPr>
          <w:trHeight w:val="255"/>
          <w:jc w:val="center"/>
        </w:trPr>
        <w:tc>
          <w:tcPr>
            <w:tcW w:w="5578" w:type="dxa"/>
            <w:shd w:val="clear" w:color="auto" w:fill="FFFFFF"/>
            <w:vAlign w:val="bottom"/>
          </w:tcPr>
          <w:p w14:paraId="4E057B29" w14:textId="7FAF699A" w:rsidR="00310421" w:rsidRPr="003234C5" w:rsidRDefault="00310421" w:rsidP="00310421">
            <w:pPr>
              <w:spacing w:after="0"/>
              <w:jc w:val="both"/>
              <w:rPr>
                <w:rFonts w:ascii="Arial" w:hAnsi="Arial" w:cs="Arial"/>
                <w:bCs/>
                <w:sz w:val="20"/>
                <w:szCs w:val="20"/>
              </w:rPr>
            </w:pPr>
            <w:bookmarkStart w:id="36" w:name="_Hlk506332266"/>
            <w:r w:rsidRPr="003234C5">
              <w:rPr>
                <w:rFonts w:ascii="Arial" w:hAnsi="Arial" w:cs="Arial"/>
                <w:bCs/>
                <w:sz w:val="20"/>
                <w:szCs w:val="20"/>
              </w:rPr>
              <w:t xml:space="preserve">Prefeitura Municipal de Fortaleza </w:t>
            </w:r>
            <w:r w:rsidR="00520B0A">
              <w:rPr>
                <w:rFonts w:ascii="Arial" w:hAnsi="Arial" w:cs="Arial"/>
                <w:bCs/>
                <w:sz w:val="20"/>
                <w:szCs w:val="20"/>
              </w:rPr>
              <w:t>(1)</w:t>
            </w:r>
          </w:p>
        </w:tc>
        <w:tc>
          <w:tcPr>
            <w:tcW w:w="1680" w:type="dxa"/>
            <w:shd w:val="clear" w:color="auto" w:fill="FFFFFF"/>
            <w:vAlign w:val="center"/>
          </w:tcPr>
          <w:p w14:paraId="4352BB98" w14:textId="5994EEFC" w:rsidR="00310421" w:rsidRPr="003234C5" w:rsidRDefault="00936C2C" w:rsidP="00310421">
            <w:pPr>
              <w:spacing w:after="0"/>
              <w:jc w:val="right"/>
              <w:rPr>
                <w:rFonts w:ascii="Arial" w:hAnsi="Arial" w:cs="Arial"/>
                <w:sz w:val="20"/>
                <w:szCs w:val="20"/>
              </w:rPr>
            </w:pPr>
            <w:r>
              <w:rPr>
                <w:rFonts w:ascii="Arial" w:hAnsi="Arial" w:cs="Arial"/>
                <w:sz w:val="20"/>
                <w:szCs w:val="20"/>
              </w:rPr>
              <w:t>10.879</w:t>
            </w:r>
          </w:p>
        </w:tc>
        <w:tc>
          <w:tcPr>
            <w:tcW w:w="1681" w:type="dxa"/>
            <w:shd w:val="clear" w:color="auto" w:fill="FFFFFF"/>
            <w:vAlign w:val="center"/>
          </w:tcPr>
          <w:p w14:paraId="57F39F0B" w14:textId="7ECEE467" w:rsidR="00310421" w:rsidRPr="003234C5" w:rsidRDefault="00310421" w:rsidP="00310421">
            <w:pPr>
              <w:spacing w:after="0"/>
              <w:jc w:val="right"/>
              <w:rPr>
                <w:rFonts w:ascii="Arial" w:hAnsi="Arial" w:cs="Arial"/>
                <w:sz w:val="20"/>
                <w:szCs w:val="20"/>
              </w:rPr>
            </w:pPr>
            <w:r w:rsidRPr="003234C5">
              <w:rPr>
                <w:rFonts w:ascii="Arial" w:hAnsi="Arial" w:cs="Arial"/>
                <w:color w:val="000000"/>
                <w:sz w:val="20"/>
                <w:szCs w:val="20"/>
              </w:rPr>
              <w:t>10.275</w:t>
            </w:r>
          </w:p>
        </w:tc>
      </w:tr>
      <w:tr w:rsidR="00310421" w:rsidRPr="003234C5" w14:paraId="70B99C2D" w14:textId="77777777" w:rsidTr="00371FB1">
        <w:trPr>
          <w:trHeight w:val="255"/>
          <w:jc w:val="center"/>
        </w:trPr>
        <w:tc>
          <w:tcPr>
            <w:tcW w:w="5578" w:type="dxa"/>
            <w:shd w:val="clear" w:color="auto" w:fill="FFFFFF"/>
            <w:vAlign w:val="bottom"/>
          </w:tcPr>
          <w:p w14:paraId="229F75C9" w14:textId="3A006AA7" w:rsidR="00310421" w:rsidRPr="003234C5" w:rsidRDefault="00310421" w:rsidP="00310421">
            <w:pPr>
              <w:spacing w:after="0"/>
              <w:jc w:val="both"/>
              <w:rPr>
                <w:rFonts w:ascii="Arial" w:hAnsi="Arial" w:cs="Arial"/>
                <w:bCs/>
                <w:sz w:val="20"/>
                <w:szCs w:val="20"/>
              </w:rPr>
            </w:pPr>
            <w:r w:rsidRPr="003234C5">
              <w:rPr>
                <w:rFonts w:ascii="Arial" w:hAnsi="Arial" w:cs="Arial"/>
                <w:bCs/>
                <w:sz w:val="20"/>
                <w:szCs w:val="20"/>
              </w:rPr>
              <w:t xml:space="preserve">PIS sobre faturamento </w:t>
            </w:r>
            <w:r w:rsidR="00520B0A">
              <w:rPr>
                <w:rFonts w:ascii="Arial" w:hAnsi="Arial" w:cs="Arial"/>
                <w:bCs/>
                <w:sz w:val="20"/>
                <w:szCs w:val="20"/>
              </w:rPr>
              <w:t>(2)</w:t>
            </w:r>
          </w:p>
        </w:tc>
        <w:tc>
          <w:tcPr>
            <w:tcW w:w="1680" w:type="dxa"/>
            <w:shd w:val="clear" w:color="auto" w:fill="FFFFFF"/>
            <w:vAlign w:val="center"/>
          </w:tcPr>
          <w:p w14:paraId="5A766C72" w14:textId="4DC77F7E" w:rsidR="00310421" w:rsidRPr="003234C5" w:rsidRDefault="00936C2C" w:rsidP="00310421">
            <w:pPr>
              <w:spacing w:after="0"/>
              <w:jc w:val="right"/>
              <w:rPr>
                <w:rFonts w:ascii="Arial" w:hAnsi="Arial" w:cs="Arial"/>
                <w:sz w:val="20"/>
                <w:szCs w:val="20"/>
              </w:rPr>
            </w:pPr>
            <w:r>
              <w:rPr>
                <w:rFonts w:ascii="Arial" w:hAnsi="Arial" w:cs="Arial"/>
                <w:sz w:val="20"/>
                <w:szCs w:val="20"/>
              </w:rPr>
              <w:t>6.747</w:t>
            </w:r>
          </w:p>
        </w:tc>
        <w:tc>
          <w:tcPr>
            <w:tcW w:w="1681" w:type="dxa"/>
            <w:shd w:val="clear" w:color="auto" w:fill="FFFFFF"/>
            <w:vAlign w:val="center"/>
          </w:tcPr>
          <w:p w14:paraId="0C2B35BF" w14:textId="637F5CBF" w:rsidR="00310421" w:rsidRPr="003234C5" w:rsidRDefault="00310421" w:rsidP="00310421">
            <w:pPr>
              <w:spacing w:after="0"/>
              <w:jc w:val="right"/>
              <w:rPr>
                <w:rFonts w:ascii="Arial" w:hAnsi="Arial" w:cs="Arial"/>
                <w:sz w:val="20"/>
                <w:szCs w:val="20"/>
              </w:rPr>
            </w:pPr>
            <w:r w:rsidRPr="003234C5">
              <w:rPr>
                <w:rFonts w:ascii="Arial" w:hAnsi="Arial" w:cs="Arial"/>
                <w:color w:val="000000"/>
                <w:sz w:val="20"/>
                <w:szCs w:val="20"/>
              </w:rPr>
              <w:t>6.049</w:t>
            </w:r>
          </w:p>
        </w:tc>
      </w:tr>
      <w:tr w:rsidR="00310421" w:rsidRPr="003234C5" w14:paraId="4277BCF9" w14:textId="77777777" w:rsidTr="00371FB1">
        <w:trPr>
          <w:trHeight w:val="255"/>
          <w:jc w:val="center"/>
        </w:trPr>
        <w:tc>
          <w:tcPr>
            <w:tcW w:w="5578" w:type="dxa"/>
            <w:shd w:val="clear" w:color="auto" w:fill="FFFFFF"/>
            <w:vAlign w:val="bottom"/>
          </w:tcPr>
          <w:p w14:paraId="1BA9689B" w14:textId="002A565C" w:rsidR="00310421" w:rsidRPr="003234C5" w:rsidRDefault="00310421" w:rsidP="00310421">
            <w:pPr>
              <w:spacing w:after="0"/>
              <w:jc w:val="both"/>
              <w:rPr>
                <w:rFonts w:ascii="Arial" w:hAnsi="Arial" w:cs="Arial"/>
                <w:bCs/>
                <w:sz w:val="20"/>
                <w:szCs w:val="20"/>
              </w:rPr>
            </w:pPr>
            <w:r w:rsidRPr="003234C5">
              <w:rPr>
                <w:rFonts w:ascii="Arial" w:hAnsi="Arial" w:cs="Arial"/>
                <w:bCs/>
                <w:sz w:val="20"/>
                <w:szCs w:val="20"/>
              </w:rPr>
              <w:t xml:space="preserve">COFINS sobre faturamento </w:t>
            </w:r>
            <w:r w:rsidR="00520B0A">
              <w:rPr>
                <w:rFonts w:ascii="Arial" w:hAnsi="Arial" w:cs="Arial"/>
                <w:bCs/>
                <w:sz w:val="20"/>
                <w:szCs w:val="20"/>
              </w:rPr>
              <w:t>(</w:t>
            </w:r>
            <w:r w:rsidR="00700847">
              <w:rPr>
                <w:rFonts w:ascii="Arial" w:hAnsi="Arial" w:cs="Arial"/>
                <w:bCs/>
                <w:sz w:val="20"/>
                <w:szCs w:val="20"/>
              </w:rPr>
              <w:t>2</w:t>
            </w:r>
            <w:r w:rsidR="00520B0A">
              <w:rPr>
                <w:rFonts w:ascii="Arial" w:hAnsi="Arial" w:cs="Arial"/>
                <w:bCs/>
                <w:sz w:val="20"/>
                <w:szCs w:val="20"/>
              </w:rPr>
              <w:t>)</w:t>
            </w:r>
          </w:p>
        </w:tc>
        <w:tc>
          <w:tcPr>
            <w:tcW w:w="1680" w:type="dxa"/>
            <w:shd w:val="clear" w:color="auto" w:fill="FFFFFF"/>
            <w:vAlign w:val="center"/>
          </w:tcPr>
          <w:p w14:paraId="4D1EB855" w14:textId="515C165F" w:rsidR="00310421" w:rsidRPr="003234C5" w:rsidRDefault="00177420" w:rsidP="00310421">
            <w:pPr>
              <w:spacing w:after="0"/>
              <w:jc w:val="right"/>
              <w:rPr>
                <w:rFonts w:ascii="Arial" w:hAnsi="Arial" w:cs="Arial"/>
                <w:sz w:val="20"/>
                <w:szCs w:val="20"/>
              </w:rPr>
            </w:pPr>
            <w:r>
              <w:rPr>
                <w:rFonts w:ascii="Arial" w:hAnsi="Arial" w:cs="Arial"/>
                <w:sz w:val="20"/>
                <w:szCs w:val="20"/>
              </w:rPr>
              <w:t>29.639</w:t>
            </w:r>
          </w:p>
        </w:tc>
        <w:tc>
          <w:tcPr>
            <w:tcW w:w="1681" w:type="dxa"/>
            <w:shd w:val="clear" w:color="auto" w:fill="FFFFFF"/>
            <w:vAlign w:val="center"/>
          </w:tcPr>
          <w:p w14:paraId="2E926D4C" w14:textId="08FBC6BC" w:rsidR="00310421" w:rsidRPr="003234C5" w:rsidRDefault="00310421" w:rsidP="00310421">
            <w:pPr>
              <w:spacing w:after="0"/>
              <w:jc w:val="right"/>
              <w:rPr>
                <w:rFonts w:ascii="Arial" w:hAnsi="Arial" w:cs="Arial"/>
                <w:sz w:val="20"/>
                <w:szCs w:val="20"/>
              </w:rPr>
            </w:pPr>
            <w:r w:rsidRPr="003234C5">
              <w:rPr>
                <w:rFonts w:ascii="Arial" w:hAnsi="Arial" w:cs="Arial"/>
                <w:color w:val="000000"/>
                <w:sz w:val="20"/>
                <w:szCs w:val="20"/>
              </w:rPr>
              <w:t>26.428</w:t>
            </w:r>
          </w:p>
        </w:tc>
      </w:tr>
      <w:tr w:rsidR="00310421" w:rsidRPr="003234C5" w14:paraId="1DB49E21" w14:textId="77777777" w:rsidTr="00371FB1">
        <w:trPr>
          <w:trHeight w:val="255"/>
          <w:jc w:val="center"/>
        </w:trPr>
        <w:tc>
          <w:tcPr>
            <w:tcW w:w="5578" w:type="dxa"/>
            <w:shd w:val="clear" w:color="auto" w:fill="FFFFFF"/>
            <w:vAlign w:val="bottom"/>
          </w:tcPr>
          <w:p w14:paraId="0699776C" w14:textId="37F3DF17" w:rsidR="00310421" w:rsidRPr="003234C5" w:rsidRDefault="00310421" w:rsidP="00310421">
            <w:pPr>
              <w:spacing w:after="0"/>
              <w:jc w:val="both"/>
              <w:rPr>
                <w:rFonts w:ascii="Arial" w:hAnsi="Arial" w:cs="Arial"/>
                <w:bCs/>
                <w:sz w:val="20"/>
                <w:szCs w:val="20"/>
              </w:rPr>
            </w:pPr>
            <w:r w:rsidRPr="003234C5">
              <w:rPr>
                <w:rFonts w:ascii="Arial" w:hAnsi="Arial" w:cs="Arial"/>
                <w:bCs/>
                <w:sz w:val="20"/>
                <w:szCs w:val="20"/>
              </w:rPr>
              <w:t>ARCE – Agência Reguladora do Ceará</w:t>
            </w:r>
            <w:r w:rsidR="00520B0A">
              <w:rPr>
                <w:rFonts w:ascii="Arial" w:hAnsi="Arial" w:cs="Arial"/>
                <w:bCs/>
                <w:sz w:val="20"/>
                <w:szCs w:val="20"/>
              </w:rPr>
              <w:t xml:space="preserve"> (</w:t>
            </w:r>
            <w:r w:rsidR="00700847">
              <w:rPr>
                <w:rFonts w:ascii="Arial" w:hAnsi="Arial" w:cs="Arial"/>
                <w:bCs/>
                <w:sz w:val="20"/>
                <w:szCs w:val="20"/>
              </w:rPr>
              <w:t>3</w:t>
            </w:r>
            <w:r w:rsidR="00520B0A">
              <w:rPr>
                <w:rFonts w:ascii="Arial" w:hAnsi="Arial" w:cs="Arial"/>
                <w:bCs/>
                <w:sz w:val="20"/>
                <w:szCs w:val="20"/>
              </w:rPr>
              <w:t>)</w:t>
            </w:r>
          </w:p>
        </w:tc>
        <w:tc>
          <w:tcPr>
            <w:tcW w:w="1680" w:type="dxa"/>
            <w:shd w:val="clear" w:color="auto" w:fill="FFFFFF"/>
            <w:vAlign w:val="center"/>
          </w:tcPr>
          <w:p w14:paraId="48873157" w14:textId="43EE0DC5" w:rsidR="00310421" w:rsidRPr="003234C5" w:rsidRDefault="00177420" w:rsidP="00310421">
            <w:pPr>
              <w:spacing w:after="0"/>
              <w:jc w:val="right"/>
              <w:rPr>
                <w:rFonts w:ascii="Arial" w:hAnsi="Arial" w:cs="Arial"/>
                <w:sz w:val="20"/>
                <w:szCs w:val="20"/>
              </w:rPr>
            </w:pPr>
            <w:r>
              <w:rPr>
                <w:rFonts w:ascii="Arial" w:hAnsi="Arial" w:cs="Arial"/>
                <w:sz w:val="20"/>
                <w:szCs w:val="20"/>
              </w:rPr>
              <w:t>57</w:t>
            </w:r>
          </w:p>
        </w:tc>
        <w:tc>
          <w:tcPr>
            <w:tcW w:w="1681" w:type="dxa"/>
            <w:shd w:val="clear" w:color="auto" w:fill="FFFFFF"/>
            <w:vAlign w:val="center"/>
          </w:tcPr>
          <w:p w14:paraId="057CBEE9" w14:textId="7A5E99C6" w:rsidR="00310421" w:rsidRPr="003234C5" w:rsidRDefault="00310421" w:rsidP="00310421">
            <w:pPr>
              <w:spacing w:after="0"/>
              <w:jc w:val="right"/>
              <w:rPr>
                <w:rFonts w:ascii="Arial" w:hAnsi="Arial" w:cs="Arial"/>
                <w:sz w:val="20"/>
                <w:szCs w:val="20"/>
              </w:rPr>
            </w:pPr>
            <w:r w:rsidRPr="003234C5">
              <w:rPr>
                <w:rFonts w:ascii="Arial" w:hAnsi="Arial" w:cs="Arial"/>
                <w:color w:val="000000"/>
                <w:sz w:val="20"/>
                <w:szCs w:val="20"/>
              </w:rPr>
              <w:t>57</w:t>
            </w:r>
          </w:p>
        </w:tc>
      </w:tr>
      <w:tr w:rsidR="00310421" w:rsidRPr="003234C5" w14:paraId="77F3777C" w14:textId="77777777" w:rsidTr="00371FB1">
        <w:trPr>
          <w:trHeight w:val="255"/>
          <w:jc w:val="center"/>
        </w:trPr>
        <w:tc>
          <w:tcPr>
            <w:tcW w:w="5578" w:type="dxa"/>
            <w:shd w:val="clear" w:color="auto" w:fill="FFFFFF"/>
            <w:vAlign w:val="bottom"/>
          </w:tcPr>
          <w:p w14:paraId="35231548" w14:textId="09B352A4" w:rsidR="00310421" w:rsidRPr="003234C5" w:rsidRDefault="00310421" w:rsidP="00310421">
            <w:pPr>
              <w:spacing w:after="0"/>
              <w:jc w:val="both"/>
              <w:rPr>
                <w:rFonts w:ascii="Arial" w:hAnsi="Arial" w:cs="Arial"/>
                <w:bCs/>
                <w:sz w:val="20"/>
                <w:szCs w:val="20"/>
              </w:rPr>
            </w:pPr>
            <w:r w:rsidRPr="003234C5">
              <w:rPr>
                <w:rFonts w:ascii="Arial" w:hAnsi="Arial" w:cs="Arial"/>
                <w:bCs/>
                <w:sz w:val="20"/>
                <w:szCs w:val="20"/>
              </w:rPr>
              <w:t>ANP – Agência Nacional de Petróleo</w:t>
            </w:r>
            <w:r w:rsidR="00520B0A">
              <w:rPr>
                <w:rFonts w:ascii="Arial" w:hAnsi="Arial" w:cs="Arial"/>
                <w:bCs/>
                <w:sz w:val="20"/>
                <w:szCs w:val="20"/>
              </w:rPr>
              <w:t xml:space="preserve"> (</w:t>
            </w:r>
            <w:r w:rsidR="00700847">
              <w:rPr>
                <w:rFonts w:ascii="Arial" w:hAnsi="Arial" w:cs="Arial"/>
                <w:bCs/>
                <w:sz w:val="20"/>
                <w:szCs w:val="20"/>
              </w:rPr>
              <w:t>3</w:t>
            </w:r>
            <w:r w:rsidR="00520B0A">
              <w:rPr>
                <w:rFonts w:ascii="Arial" w:hAnsi="Arial" w:cs="Arial"/>
                <w:bCs/>
                <w:sz w:val="20"/>
                <w:szCs w:val="20"/>
              </w:rPr>
              <w:t>)</w:t>
            </w:r>
          </w:p>
        </w:tc>
        <w:tc>
          <w:tcPr>
            <w:tcW w:w="1680" w:type="dxa"/>
            <w:shd w:val="clear" w:color="auto" w:fill="FFFFFF"/>
            <w:vAlign w:val="center"/>
          </w:tcPr>
          <w:p w14:paraId="1DF434F7" w14:textId="49E6379A" w:rsidR="00310421" w:rsidRPr="003234C5" w:rsidRDefault="00177420" w:rsidP="00310421">
            <w:pPr>
              <w:spacing w:after="0"/>
              <w:jc w:val="right"/>
              <w:rPr>
                <w:rFonts w:ascii="Arial" w:hAnsi="Arial" w:cs="Arial"/>
                <w:sz w:val="20"/>
                <w:szCs w:val="20"/>
              </w:rPr>
            </w:pPr>
            <w:r>
              <w:rPr>
                <w:rFonts w:ascii="Arial" w:hAnsi="Arial" w:cs="Arial"/>
                <w:sz w:val="20"/>
                <w:szCs w:val="20"/>
              </w:rPr>
              <w:t>280</w:t>
            </w:r>
          </w:p>
        </w:tc>
        <w:tc>
          <w:tcPr>
            <w:tcW w:w="1681" w:type="dxa"/>
            <w:shd w:val="clear" w:color="auto" w:fill="FFFFFF"/>
            <w:vAlign w:val="center"/>
          </w:tcPr>
          <w:p w14:paraId="3CA097FC" w14:textId="6547B1F7" w:rsidR="00310421" w:rsidRPr="003234C5" w:rsidRDefault="00310421" w:rsidP="00310421">
            <w:pPr>
              <w:spacing w:after="0"/>
              <w:jc w:val="right"/>
              <w:rPr>
                <w:rFonts w:ascii="Arial" w:hAnsi="Arial" w:cs="Arial"/>
                <w:sz w:val="20"/>
                <w:szCs w:val="20"/>
              </w:rPr>
            </w:pPr>
            <w:r w:rsidRPr="003234C5">
              <w:rPr>
                <w:rFonts w:ascii="Arial" w:hAnsi="Arial" w:cs="Arial"/>
                <w:color w:val="000000"/>
                <w:sz w:val="20"/>
                <w:szCs w:val="20"/>
              </w:rPr>
              <w:t>280</w:t>
            </w:r>
          </w:p>
        </w:tc>
      </w:tr>
      <w:tr w:rsidR="00310421" w:rsidRPr="003234C5" w14:paraId="166C27E1" w14:textId="77777777" w:rsidTr="00371FB1">
        <w:trPr>
          <w:trHeight w:val="255"/>
          <w:jc w:val="center"/>
        </w:trPr>
        <w:tc>
          <w:tcPr>
            <w:tcW w:w="5578" w:type="dxa"/>
            <w:shd w:val="clear" w:color="auto" w:fill="FFFFFF"/>
            <w:vAlign w:val="bottom"/>
          </w:tcPr>
          <w:p w14:paraId="523BC130" w14:textId="7F7F70A6" w:rsidR="00310421" w:rsidRPr="003234C5" w:rsidRDefault="00310421" w:rsidP="00310421">
            <w:pPr>
              <w:spacing w:after="0"/>
              <w:jc w:val="both"/>
              <w:rPr>
                <w:rFonts w:ascii="Arial" w:hAnsi="Arial" w:cs="Arial"/>
                <w:bCs/>
                <w:sz w:val="20"/>
                <w:szCs w:val="20"/>
              </w:rPr>
            </w:pPr>
            <w:r w:rsidRPr="003234C5">
              <w:rPr>
                <w:rFonts w:ascii="Arial" w:hAnsi="Arial" w:cs="Arial"/>
                <w:bCs/>
                <w:sz w:val="20"/>
                <w:szCs w:val="20"/>
              </w:rPr>
              <w:t>Contingências Trabalhistas</w:t>
            </w:r>
            <w:r w:rsidR="00520B0A">
              <w:rPr>
                <w:rFonts w:ascii="Arial" w:hAnsi="Arial" w:cs="Arial"/>
                <w:bCs/>
                <w:sz w:val="20"/>
                <w:szCs w:val="20"/>
              </w:rPr>
              <w:t xml:space="preserve"> </w:t>
            </w:r>
          </w:p>
        </w:tc>
        <w:tc>
          <w:tcPr>
            <w:tcW w:w="1680" w:type="dxa"/>
            <w:shd w:val="clear" w:color="auto" w:fill="FFFFFF"/>
            <w:vAlign w:val="center"/>
          </w:tcPr>
          <w:p w14:paraId="596F3311" w14:textId="4FAB90BF" w:rsidR="00310421" w:rsidRPr="003234C5" w:rsidRDefault="00177420" w:rsidP="00310421">
            <w:pPr>
              <w:spacing w:after="0"/>
              <w:jc w:val="right"/>
              <w:rPr>
                <w:rFonts w:ascii="Arial" w:hAnsi="Arial" w:cs="Arial"/>
                <w:sz w:val="20"/>
                <w:szCs w:val="20"/>
              </w:rPr>
            </w:pPr>
            <w:r>
              <w:rPr>
                <w:rFonts w:ascii="Arial" w:hAnsi="Arial" w:cs="Arial"/>
                <w:sz w:val="20"/>
                <w:szCs w:val="20"/>
              </w:rPr>
              <w:t>83</w:t>
            </w:r>
          </w:p>
        </w:tc>
        <w:tc>
          <w:tcPr>
            <w:tcW w:w="1681" w:type="dxa"/>
            <w:shd w:val="clear" w:color="auto" w:fill="FFFFFF"/>
            <w:vAlign w:val="center"/>
          </w:tcPr>
          <w:p w14:paraId="1A06EAD8" w14:textId="76B6A7CE" w:rsidR="00310421" w:rsidRPr="003234C5" w:rsidRDefault="00310421" w:rsidP="00310421">
            <w:pPr>
              <w:spacing w:after="0"/>
              <w:jc w:val="right"/>
              <w:rPr>
                <w:rFonts w:ascii="Arial" w:hAnsi="Arial" w:cs="Arial"/>
                <w:sz w:val="20"/>
                <w:szCs w:val="20"/>
              </w:rPr>
            </w:pPr>
            <w:r w:rsidRPr="003234C5">
              <w:rPr>
                <w:rFonts w:ascii="Arial" w:hAnsi="Arial" w:cs="Arial"/>
                <w:color w:val="000000"/>
                <w:sz w:val="20"/>
                <w:szCs w:val="20"/>
              </w:rPr>
              <w:t>222</w:t>
            </w:r>
          </w:p>
        </w:tc>
      </w:tr>
      <w:bookmarkEnd w:id="36"/>
      <w:tr w:rsidR="00310421" w:rsidRPr="003234C5" w14:paraId="74F6BD91" w14:textId="77777777" w:rsidTr="00371FB1">
        <w:trPr>
          <w:trHeight w:val="255"/>
          <w:jc w:val="center"/>
        </w:trPr>
        <w:tc>
          <w:tcPr>
            <w:tcW w:w="5578" w:type="dxa"/>
            <w:shd w:val="clear" w:color="auto" w:fill="C0C0C0"/>
            <w:vAlign w:val="center"/>
          </w:tcPr>
          <w:p w14:paraId="4E429A2F" w14:textId="77777777" w:rsidR="00310421" w:rsidRPr="003234C5" w:rsidRDefault="00310421" w:rsidP="0031042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680" w:type="dxa"/>
            <w:shd w:val="clear" w:color="auto" w:fill="C0C0C0"/>
            <w:vAlign w:val="center"/>
          </w:tcPr>
          <w:p w14:paraId="6C21E6CC" w14:textId="14C68D80" w:rsidR="00310421" w:rsidRPr="003234C5" w:rsidRDefault="00177420" w:rsidP="00310421">
            <w:pPr>
              <w:spacing w:after="0"/>
              <w:jc w:val="right"/>
              <w:rPr>
                <w:rFonts w:ascii="Arial" w:hAnsi="Arial" w:cs="Arial"/>
                <w:b/>
                <w:sz w:val="20"/>
                <w:szCs w:val="20"/>
              </w:rPr>
            </w:pPr>
            <w:r>
              <w:rPr>
                <w:rFonts w:ascii="Arial" w:hAnsi="Arial" w:cs="Arial"/>
                <w:b/>
                <w:sz w:val="20"/>
                <w:szCs w:val="20"/>
              </w:rPr>
              <w:t>47.685</w:t>
            </w:r>
          </w:p>
        </w:tc>
        <w:tc>
          <w:tcPr>
            <w:tcW w:w="1681" w:type="dxa"/>
            <w:shd w:val="clear" w:color="auto" w:fill="C0C0C0"/>
            <w:vAlign w:val="center"/>
          </w:tcPr>
          <w:p w14:paraId="6BA00543" w14:textId="678D2163" w:rsidR="00310421" w:rsidRPr="003234C5" w:rsidRDefault="00310421" w:rsidP="00310421">
            <w:pPr>
              <w:spacing w:after="0"/>
              <w:jc w:val="right"/>
              <w:rPr>
                <w:rFonts w:ascii="Arial" w:hAnsi="Arial" w:cs="Arial"/>
                <w:b/>
                <w:sz w:val="20"/>
                <w:szCs w:val="20"/>
              </w:rPr>
            </w:pPr>
            <w:r w:rsidRPr="003234C5">
              <w:rPr>
                <w:rFonts w:ascii="Arial" w:hAnsi="Arial" w:cs="Arial"/>
                <w:b/>
                <w:bCs/>
                <w:color w:val="000000"/>
                <w:sz w:val="20"/>
                <w:szCs w:val="20"/>
              </w:rPr>
              <w:t>43.311</w:t>
            </w:r>
          </w:p>
        </w:tc>
      </w:tr>
    </w:tbl>
    <w:p w14:paraId="38D368F9" w14:textId="77777777" w:rsidR="00200682" w:rsidRPr="003234C5" w:rsidRDefault="00200682" w:rsidP="00200682">
      <w:pPr>
        <w:autoSpaceDE w:val="0"/>
        <w:autoSpaceDN w:val="0"/>
        <w:adjustRightInd w:val="0"/>
        <w:jc w:val="both"/>
        <w:rPr>
          <w:rFonts w:ascii="Arial" w:hAnsi="Arial" w:cs="Arial"/>
        </w:rPr>
      </w:pPr>
    </w:p>
    <w:p w14:paraId="216EF7B1" w14:textId="57A1601F" w:rsidR="00200682" w:rsidRPr="003234C5" w:rsidRDefault="00520B0A" w:rsidP="00200682">
      <w:pPr>
        <w:autoSpaceDE w:val="0"/>
        <w:autoSpaceDN w:val="0"/>
        <w:adjustRightInd w:val="0"/>
        <w:jc w:val="both"/>
        <w:rPr>
          <w:rFonts w:ascii="Arial" w:hAnsi="Arial" w:cs="Arial"/>
        </w:rPr>
      </w:pPr>
      <w:r>
        <w:rPr>
          <w:rFonts w:ascii="Arial" w:hAnsi="Arial" w:cs="Arial"/>
        </w:rPr>
        <w:t xml:space="preserve">(1) </w:t>
      </w:r>
      <w:r w:rsidR="00200682" w:rsidRPr="003234C5">
        <w:rPr>
          <w:rFonts w:ascii="Arial" w:hAnsi="Arial" w:cs="Arial"/>
        </w:rPr>
        <w:t xml:space="preserve">O valor de R$ </w:t>
      </w:r>
      <w:r w:rsidR="002F280D" w:rsidRPr="003234C5">
        <w:rPr>
          <w:rFonts w:ascii="Arial" w:hAnsi="Arial" w:cs="Arial"/>
        </w:rPr>
        <w:t>10.</w:t>
      </w:r>
      <w:r w:rsidR="00554458">
        <w:rPr>
          <w:rFonts w:ascii="Arial" w:hAnsi="Arial" w:cs="Arial"/>
        </w:rPr>
        <w:t>879</w:t>
      </w:r>
      <w:r w:rsidR="00200682" w:rsidRPr="003234C5">
        <w:rPr>
          <w:rFonts w:ascii="Arial" w:hAnsi="Arial" w:cs="Arial"/>
        </w:rPr>
        <w:t xml:space="preserve"> corresponde à provisão para contingência fiscal, cobrada pela Prefeitura Municipal de Fortaleza – PMF correspondente às prestações determinadas pela Lei. Nº 8.744, de 10 de julho de 2003, a qual instituiu o pagamento de prestação pecuniária obrigatória a empresas que tenham infraestrutura instalada em logradouros públicos, no espaço aéreo, no solo e no subsolo do município de Fortaleza.</w:t>
      </w:r>
    </w:p>
    <w:p w14:paraId="392115F8" w14:textId="66BA2237" w:rsidR="00200682" w:rsidRPr="003234C5" w:rsidRDefault="00520B0A" w:rsidP="00200682">
      <w:pPr>
        <w:autoSpaceDE w:val="0"/>
        <w:autoSpaceDN w:val="0"/>
        <w:adjustRightInd w:val="0"/>
        <w:jc w:val="both"/>
        <w:rPr>
          <w:rFonts w:ascii="Arial" w:hAnsi="Arial" w:cs="Arial"/>
        </w:rPr>
      </w:pPr>
      <w:r>
        <w:rPr>
          <w:rFonts w:ascii="Arial" w:hAnsi="Arial" w:cs="Arial"/>
        </w:rPr>
        <w:t xml:space="preserve">(2) </w:t>
      </w:r>
      <w:r w:rsidR="000767CA" w:rsidRPr="003234C5">
        <w:rPr>
          <w:rFonts w:ascii="Arial" w:hAnsi="Arial" w:cs="Arial"/>
        </w:rPr>
        <w:t>A partir de</w:t>
      </w:r>
      <w:r w:rsidR="00200682" w:rsidRPr="003234C5">
        <w:rPr>
          <w:rFonts w:ascii="Arial" w:hAnsi="Arial" w:cs="Arial"/>
        </w:rPr>
        <w:t xml:space="preserve"> dezembro de 2006, a Companhia também</w:t>
      </w:r>
      <w:r w:rsidR="000767CA" w:rsidRPr="003234C5">
        <w:rPr>
          <w:rFonts w:ascii="Arial" w:hAnsi="Arial" w:cs="Arial"/>
        </w:rPr>
        <w:t xml:space="preserve"> passou a</w:t>
      </w:r>
      <w:r w:rsidR="00200682" w:rsidRPr="003234C5">
        <w:rPr>
          <w:rFonts w:ascii="Arial" w:hAnsi="Arial" w:cs="Arial"/>
        </w:rPr>
        <w:t xml:space="preserve"> constitui</w:t>
      </w:r>
      <w:r w:rsidR="000767CA" w:rsidRPr="003234C5">
        <w:rPr>
          <w:rFonts w:ascii="Arial" w:hAnsi="Arial" w:cs="Arial"/>
        </w:rPr>
        <w:t>r</w:t>
      </w:r>
      <w:r w:rsidR="00200682" w:rsidRPr="003234C5">
        <w:rPr>
          <w:rFonts w:ascii="Arial" w:hAnsi="Arial" w:cs="Arial"/>
        </w:rPr>
        <w:t xml:space="preserve"> uma provisão para contingência tributária, por uma possível iminência de autuação fiscal, pelo procedimento </w:t>
      </w:r>
      <w:r w:rsidR="00200682" w:rsidRPr="003234C5">
        <w:rPr>
          <w:rFonts w:ascii="Arial" w:hAnsi="Arial" w:cs="Arial"/>
        </w:rPr>
        <w:lastRenderedPageBreak/>
        <w:t xml:space="preserve">tributário de creditar-se de PIS e COFINS sobre o ICMS que é pago pela aquisição de gás natural da </w:t>
      </w:r>
      <w:r w:rsidR="00AD73BB" w:rsidRPr="003234C5">
        <w:rPr>
          <w:rFonts w:ascii="Arial" w:hAnsi="Arial" w:cs="Arial"/>
        </w:rPr>
        <w:t>Petrobras</w:t>
      </w:r>
      <w:r w:rsidR="00E37215" w:rsidRPr="003234C5">
        <w:rPr>
          <w:rFonts w:ascii="Arial" w:hAnsi="Arial" w:cs="Arial"/>
        </w:rPr>
        <w:t xml:space="preserve"> por substituição tributária</w:t>
      </w:r>
      <w:r w:rsidR="00200682" w:rsidRPr="003234C5">
        <w:rPr>
          <w:rFonts w:ascii="Arial" w:hAnsi="Arial" w:cs="Arial"/>
        </w:rPr>
        <w:t>.</w:t>
      </w:r>
    </w:p>
    <w:p w14:paraId="3268E0C7" w14:textId="6B8FE5F8" w:rsidR="00AF66F9" w:rsidRDefault="00520B0A" w:rsidP="00200682">
      <w:pPr>
        <w:autoSpaceDE w:val="0"/>
        <w:autoSpaceDN w:val="0"/>
        <w:adjustRightInd w:val="0"/>
        <w:jc w:val="both"/>
        <w:rPr>
          <w:rFonts w:ascii="Arial" w:hAnsi="Arial" w:cs="Arial"/>
        </w:rPr>
      </w:pPr>
      <w:r>
        <w:rPr>
          <w:rFonts w:ascii="Arial" w:hAnsi="Arial" w:cs="Arial"/>
        </w:rPr>
        <w:t xml:space="preserve"> </w:t>
      </w:r>
      <w:r w:rsidR="00200682" w:rsidRPr="003234C5">
        <w:rPr>
          <w:rFonts w:ascii="Arial" w:hAnsi="Arial" w:cs="Arial"/>
        </w:rPr>
        <w:t xml:space="preserve">A Companhia entrou na justiça, através de uma ação declaratória, pleiteando uma declaração de inconstitucionalidade da incidência destas obrigações tributárias e, através de liminar concedida, </w:t>
      </w:r>
      <w:r w:rsidR="00200682" w:rsidRPr="00E26C83">
        <w:rPr>
          <w:rFonts w:ascii="Arial" w:hAnsi="Arial" w:cs="Arial"/>
        </w:rPr>
        <w:t xml:space="preserve">efetuou até </w:t>
      </w:r>
      <w:r w:rsidR="00AF66F9">
        <w:rPr>
          <w:rFonts w:ascii="Arial" w:hAnsi="Arial" w:cs="Arial"/>
        </w:rPr>
        <w:t>dezembro</w:t>
      </w:r>
      <w:r w:rsidR="002444F4" w:rsidRPr="00E26C83">
        <w:rPr>
          <w:rFonts w:ascii="Arial" w:hAnsi="Arial" w:cs="Arial"/>
        </w:rPr>
        <w:t xml:space="preserve"> de 2019</w:t>
      </w:r>
      <w:r w:rsidR="00200682" w:rsidRPr="00E26C83">
        <w:rPr>
          <w:rFonts w:ascii="Arial" w:hAnsi="Arial" w:cs="Arial"/>
        </w:rPr>
        <w:t xml:space="preserve"> o depósito judicial da obrigação constituída </w:t>
      </w:r>
      <w:r w:rsidR="0082394E" w:rsidRPr="00E26C83">
        <w:rPr>
          <w:rFonts w:ascii="Arial" w:hAnsi="Arial" w:cs="Arial"/>
        </w:rPr>
        <w:t xml:space="preserve">no montante de </w:t>
      </w:r>
      <w:r w:rsidR="00200682" w:rsidRPr="00E26C83">
        <w:rPr>
          <w:rFonts w:ascii="Arial" w:hAnsi="Arial" w:cs="Arial"/>
        </w:rPr>
        <w:t xml:space="preserve">R$ </w:t>
      </w:r>
      <w:r w:rsidR="002F280D" w:rsidRPr="00E26C83">
        <w:rPr>
          <w:rFonts w:ascii="Arial" w:hAnsi="Arial" w:cs="Arial"/>
        </w:rPr>
        <w:t>6</w:t>
      </w:r>
      <w:r w:rsidR="000865F8" w:rsidRPr="00E26C83">
        <w:rPr>
          <w:rFonts w:ascii="Arial" w:hAnsi="Arial" w:cs="Arial"/>
        </w:rPr>
        <w:t>.</w:t>
      </w:r>
      <w:r w:rsidR="00AA3914" w:rsidRPr="00E26C83">
        <w:rPr>
          <w:rFonts w:ascii="Arial" w:hAnsi="Arial" w:cs="Arial"/>
        </w:rPr>
        <w:t>747</w:t>
      </w:r>
      <w:r w:rsidR="00200682" w:rsidRPr="00E26C83">
        <w:rPr>
          <w:rFonts w:ascii="Arial" w:hAnsi="Arial" w:cs="Arial"/>
        </w:rPr>
        <w:t xml:space="preserve"> </w:t>
      </w:r>
      <w:r w:rsidR="0082394E" w:rsidRPr="00E26C83">
        <w:rPr>
          <w:rFonts w:ascii="Arial" w:hAnsi="Arial" w:cs="Arial"/>
        </w:rPr>
        <w:t xml:space="preserve">referente ao PIS e </w:t>
      </w:r>
      <w:r w:rsidR="00200682" w:rsidRPr="00E26C83">
        <w:rPr>
          <w:rFonts w:ascii="Arial" w:hAnsi="Arial" w:cs="Arial"/>
        </w:rPr>
        <w:t xml:space="preserve">R$ </w:t>
      </w:r>
      <w:r w:rsidR="00413300" w:rsidRPr="00E26C83">
        <w:rPr>
          <w:rFonts w:ascii="Arial" w:hAnsi="Arial" w:cs="Arial"/>
        </w:rPr>
        <w:t>2</w:t>
      </w:r>
      <w:r w:rsidR="00CB4F1D" w:rsidRPr="00E26C83">
        <w:rPr>
          <w:rFonts w:ascii="Arial" w:hAnsi="Arial" w:cs="Arial"/>
        </w:rPr>
        <w:t>9</w:t>
      </w:r>
      <w:r w:rsidR="00413300" w:rsidRPr="00E26C83">
        <w:rPr>
          <w:rFonts w:ascii="Arial" w:hAnsi="Arial" w:cs="Arial"/>
        </w:rPr>
        <w:t>.</w:t>
      </w:r>
      <w:r w:rsidR="00CB4F1D" w:rsidRPr="00E26C83">
        <w:rPr>
          <w:rFonts w:ascii="Arial" w:hAnsi="Arial" w:cs="Arial"/>
        </w:rPr>
        <w:t>639</w:t>
      </w:r>
      <w:r w:rsidR="00413300" w:rsidRPr="00E26C83">
        <w:rPr>
          <w:rFonts w:ascii="Arial" w:hAnsi="Arial" w:cs="Arial"/>
        </w:rPr>
        <w:t xml:space="preserve"> </w:t>
      </w:r>
      <w:r w:rsidR="0082394E" w:rsidRPr="00E26C83">
        <w:rPr>
          <w:rFonts w:ascii="Arial" w:hAnsi="Arial" w:cs="Arial"/>
        </w:rPr>
        <w:t>referente à COFINS</w:t>
      </w:r>
      <w:r w:rsidR="00200682" w:rsidRPr="00E26C83">
        <w:rPr>
          <w:rFonts w:ascii="Arial" w:hAnsi="Arial" w:cs="Arial"/>
        </w:rPr>
        <w:t>.</w:t>
      </w:r>
    </w:p>
    <w:p w14:paraId="54ADA0E4" w14:textId="104CB7E2" w:rsidR="00717C6D" w:rsidRPr="008D3D84" w:rsidRDefault="00717C6D" w:rsidP="00717C6D">
      <w:pPr>
        <w:autoSpaceDE w:val="0"/>
        <w:autoSpaceDN w:val="0"/>
        <w:adjustRightInd w:val="0"/>
        <w:jc w:val="both"/>
        <w:rPr>
          <w:rFonts w:ascii="Arial" w:hAnsi="Arial" w:cs="Arial"/>
        </w:rPr>
      </w:pPr>
      <w:r w:rsidRPr="008D3D84">
        <w:rPr>
          <w:rFonts w:ascii="Arial" w:hAnsi="Arial" w:cs="Arial"/>
        </w:rPr>
        <w:t xml:space="preserve">Em janeiro de 2020, o Juiz Federal da 1º Vara Federal – CE proferiu a decisão sobre a ação </w:t>
      </w:r>
      <w:r>
        <w:rPr>
          <w:rFonts w:ascii="Arial" w:hAnsi="Arial" w:cs="Arial"/>
        </w:rPr>
        <w:t>supramencionada</w:t>
      </w:r>
      <w:r w:rsidRPr="008D3D84">
        <w:rPr>
          <w:rFonts w:ascii="Arial" w:hAnsi="Arial" w:cs="Arial"/>
        </w:rPr>
        <w:t xml:space="preserve">, dando ganho de causa à </w:t>
      </w:r>
      <w:r>
        <w:rPr>
          <w:rFonts w:ascii="Arial" w:hAnsi="Arial" w:cs="Arial"/>
        </w:rPr>
        <w:t>CEGÁS</w:t>
      </w:r>
      <w:r w:rsidRPr="008D3D84">
        <w:rPr>
          <w:rFonts w:ascii="Arial" w:hAnsi="Arial" w:cs="Arial"/>
        </w:rPr>
        <w:t xml:space="preserve">. Assim, autorizou a imediata cessão dos depósitos </w:t>
      </w:r>
      <w:r>
        <w:rPr>
          <w:rFonts w:ascii="Arial" w:hAnsi="Arial" w:cs="Arial"/>
        </w:rPr>
        <w:t xml:space="preserve">judiciais </w:t>
      </w:r>
      <w:r w:rsidRPr="008D3D84">
        <w:rPr>
          <w:rFonts w:ascii="Arial" w:hAnsi="Arial" w:cs="Arial"/>
        </w:rPr>
        <w:t xml:space="preserve">mensais que têm sido efetivados pela </w:t>
      </w:r>
      <w:r>
        <w:rPr>
          <w:rFonts w:ascii="Arial" w:hAnsi="Arial" w:cs="Arial"/>
        </w:rPr>
        <w:t xml:space="preserve">Companhia </w:t>
      </w:r>
      <w:r w:rsidRPr="008D3D84">
        <w:rPr>
          <w:rFonts w:ascii="Arial" w:hAnsi="Arial" w:cs="Arial"/>
        </w:rPr>
        <w:t xml:space="preserve">referentes às diferenças entre o PIS/PASEP e COFINS com o ICMS-ST na base de cálculo e sem o ICMS-ST na base de cálculo. </w:t>
      </w:r>
    </w:p>
    <w:p w14:paraId="240236CD" w14:textId="2B1744A7" w:rsidR="00717C6D" w:rsidRPr="003234C5" w:rsidRDefault="00717C6D" w:rsidP="00717C6D">
      <w:pPr>
        <w:autoSpaceDE w:val="0"/>
        <w:autoSpaceDN w:val="0"/>
        <w:adjustRightInd w:val="0"/>
        <w:jc w:val="both"/>
        <w:rPr>
          <w:rFonts w:ascii="Arial" w:hAnsi="Arial" w:cs="Arial"/>
        </w:rPr>
      </w:pPr>
      <w:r w:rsidRPr="008D3D84">
        <w:rPr>
          <w:rFonts w:ascii="Arial" w:hAnsi="Arial" w:cs="Arial"/>
        </w:rPr>
        <w:t xml:space="preserve">Além disso, foi reconhecido o direito da </w:t>
      </w:r>
      <w:proofErr w:type="spellStart"/>
      <w:r w:rsidRPr="008D3D84">
        <w:rPr>
          <w:rFonts w:ascii="Arial" w:hAnsi="Arial" w:cs="Arial"/>
        </w:rPr>
        <w:t>Cegás</w:t>
      </w:r>
      <w:proofErr w:type="spellEnd"/>
      <w:r w:rsidRPr="008D3D84">
        <w:rPr>
          <w:rFonts w:ascii="Arial" w:hAnsi="Arial" w:cs="Arial"/>
        </w:rPr>
        <w:t xml:space="preserve"> ao levantamento dos valores depositados em juízo. Todavia, a expedição de alvará ou transferência bancária foi condicionada à preclusão da matéria, assim a Receita Federal ainda tem o direito de recorrer da decisão. Não havendo recurso ou este sendo julgado improcedente, a </w:t>
      </w:r>
      <w:proofErr w:type="spellStart"/>
      <w:r w:rsidRPr="008D3D84">
        <w:rPr>
          <w:rFonts w:ascii="Arial" w:hAnsi="Arial" w:cs="Arial"/>
        </w:rPr>
        <w:t>Cegás</w:t>
      </w:r>
      <w:proofErr w:type="spellEnd"/>
      <w:r w:rsidRPr="008D3D84">
        <w:rPr>
          <w:rFonts w:ascii="Arial" w:hAnsi="Arial" w:cs="Arial"/>
        </w:rPr>
        <w:t xml:space="preserve"> procederá ao levantamento dos valores depositados </w:t>
      </w:r>
      <w:r>
        <w:rPr>
          <w:rFonts w:ascii="Arial" w:hAnsi="Arial" w:cs="Arial"/>
        </w:rPr>
        <w:t xml:space="preserve">e reverterá a provisão para contingência correspondente a essa ação. </w:t>
      </w:r>
      <w:r w:rsidR="00E70F9A">
        <w:rPr>
          <w:rFonts w:ascii="Arial" w:hAnsi="Arial" w:cs="Arial"/>
        </w:rPr>
        <w:t xml:space="preserve">Dessa forma, </w:t>
      </w:r>
      <w:r w:rsidR="001F4498">
        <w:rPr>
          <w:rFonts w:ascii="Arial" w:hAnsi="Arial" w:cs="Arial"/>
        </w:rPr>
        <w:t xml:space="preserve">o </w:t>
      </w:r>
      <w:r>
        <w:rPr>
          <w:rFonts w:ascii="Arial" w:hAnsi="Arial" w:cs="Arial"/>
        </w:rPr>
        <w:t xml:space="preserve">impacto </w:t>
      </w:r>
      <w:r w:rsidR="00E70F9A">
        <w:rPr>
          <w:rFonts w:ascii="Arial" w:hAnsi="Arial" w:cs="Arial"/>
        </w:rPr>
        <w:t xml:space="preserve">positivo </w:t>
      </w:r>
      <w:r>
        <w:rPr>
          <w:rFonts w:ascii="Arial" w:hAnsi="Arial" w:cs="Arial"/>
        </w:rPr>
        <w:t>no resultado, considerando a reversão da provisão para contingência relativos ao ICMS na base de cálculo do PIS e da COFINS e atualização dos depósitos judiciais foi estimada, na posição de dezembro de 2019, em aproximadamente R$ 60.131</w:t>
      </w:r>
      <w:r w:rsidRPr="008D3D84">
        <w:rPr>
          <w:rFonts w:ascii="Arial" w:hAnsi="Arial" w:cs="Arial"/>
        </w:rPr>
        <w:t>.</w:t>
      </w:r>
      <w:r>
        <w:rPr>
          <w:rFonts w:ascii="Arial" w:hAnsi="Arial" w:cs="Arial"/>
        </w:rPr>
        <w:t xml:space="preserve"> </w:t>
      </w:r>
    </w:p>
    <w:p w14:paraId="46B715AF" w14:textId="57118F9B" w:rsidR="005179DB" w:rsidRPr="003234C5" w:rsidRDefault="00700847" w:rsidP="00AC5B72">
      <w:pPr>
        <w:autoSpaceDE w:val="0"/>
        <w:autoSpaceDN w:val="0"/>
        <w:adjustRightInd w:val="0"/>
        <w:jc w:val="both"/>
        <w:rPr>
          <w:rFonts w:ascii="Arial" w:hAnsi="Arial" w:cs="Arial"/>
        </w:rPr>
      </w:pPr>
      <w:r>
        <w:rPr>
          <w:rFonts w:ascii="Arial" w:hAnsi="Arial" w:cs="Arial"/>
        </w:rPr>
        <w:t xml:space="preserve">(3) </w:t>
      </w:r>
      <w:r w:rsidR="00200682" w:rsidRPr="003234C5">
        <w:rPr>
          <w:rFonts w:ascii="Arial" w:hAnsi="Arial" w:cs="Arial"/>
        </w:rPr>
        <w:t>O</w:t>
      </w:r>
      <w:r w:rsidR="00A912FF" w:rsidRPr="003234C5">
        <w:rPr>
          <w:rFonts w:ascii="Arial" w:hAnsi="Arial" w:cs="Arial"/>
        </w:rPr>
        <w:t>s</w:t>
      </w:r>
      <w:r w:rsidR="00200682" w:rsidRPr="003234C5">
        <w:rPr>
          <w:rFonts w:ascii="Arial" w:hAnsi="Arial" w:cs="Arial"/>
        </w:rPr>
        <w:t xml:space="preserve"> valor</w:t>
      </w:r>
      <w:r w:rsidR="00A912FF" w:rsidRPr="003234C5">
        <w:rPr>
          <w:rFonts w:ascii="Arial" w:hAnsi="Arial" w:cs="Arial"/>
        </w:rPr>
        <w:t>es</w:t>
      </w:r>
      <w:r w:rsidR="00200682" w:rsidRPr="003234C5">
        <w:rPr>
          <w:rFonts w:ascii="Arial" w:hAnsi="Arial" w:cs="Arial"/>
        </w:rPr>
        <w:t xml:space="preserve"> de R$ 5</w:t>
      </w:r>
      <w:r w:rsidR="002F280D" w:rsidRPr="003234C5">
        <w:rPr>
          <w:rFonts w:ascii="Arial" w:hAnsi="Arial" w:cs="Arial"/>
        </w:rPr>
        <w:t>7</w:t>
      </w:r>
      <w:r w:rsidR="00A1086E" w:rsidRPr="003234C5">
        <w:rPr>
          <w:rFonts w:ascii="Arial" w:hAnsi="Arial" w:cs="Arial"/>
        </w:rPr>
        <w:t xml:space="preserve"> e R$ 2</w:t>
      </w:r>
      <w:r w:rsidR="002F280D" w:rsidRPr="003234C5">
        <w:rPr>
          <w:rFonts w:ascii="Arial" w:hAnsi="Arial" w:cs="Arial"/>
        </w:rPr>
        <w:t>80</w:t>
      </w:r>
      <w:r w:rsidR="00200682" w:rsidRPr="003234C5">
        <w:rPr>
          <w:rFonts w:ascii="Arial" w:hAnsi="Arial" w:cs="Arial"/>
        </w:rPr>
        <w:t xml:space="preserve"> refere</w:t>
      </w:r>
      <w:r w:rsidR="00A1086E" w:rsidRPr="003234C5">
        <w:rPr>
          <w:rFonts w:ascii="Arial" w:hAnsi="Arial" w:cs="Arial"/>
        </w:rPr>
        <w:t>m</w:t>
      </w:r>
      <w:r w:rsidR="00200682" w:rsidRPr="003234C5">
        <w:rPr>
          <w:rFonts w:ascii="Arial" w:hAnsi="Arial" w:cs="Arial"/>
        </w:rPr>
        <w:t xml:space="preserve">-se a provisões de </w:t>
      </w:r>
      <w:r w:rsidR="00A1086E" w:rsidRPr="003234C5">
        <w:rPr>
          <w:rFonts w:ascii="Arial" w:hAnsi="Arial" w:cs="Arial"/>
        </w:rPr>
        <w:t xml:space="preserve">penalidades </w:t>
      </w:r>
      <w:r w:rsidR="00200682" w:rsidRPr="003234C5">
        <w:rPr>
          <w:rFonts w:ascii="Arial" w:hAnsi="Arial" w:cs="Arial"/>
        </w:rPr>
        <w:t>impostas pela Agência Reguladora de Serviços Públicos Delegados do Estado do Ceará</w:t>
      </w:r>
      <w:r w:rsidR="00A1086E" w:rsidRPr="003234C5">
        <w:rPr>
          <w:rFonts w:ascii="Arial" w:hAnsi="Arial" w:cs="Arial"/>
        </w:rPr>
        <w:t xml:space="preserve">, e </w:t>
      </w:r>
      <w:r w:rsidR="00200682" w:rsidRPr="003234C5">
        <w:rPr>
          <w:rFonts w:ascii="Arial" w:hAnsi="Arial" w:cs="Arial"/>
        </w:rPr>
        <w:t>pela Agência Nacional de Petróleo</w:t>
      </w:r>
      <w:r w:rsidR="00A1086E" w:rsidRPr="003234C5">
        <w:rPr>
          <w:rFonts w:ascii="Arial" w:hAnsi="Arial" w:cs="Arial"/>
        </w:rPr>
        <w:t xml:space="preserve"> respectivamente. Essas punições ainda estão em fase de defesa por parte da Companhia nas instâncias administrativas e judiciais</w:t>
      </w:r>
      <w:r w:rsidR="00200682" w:rsidRPr="003234C5">
        <w:rPr>
          <w:rFonts w:ascii="Arial" w:hAnsi="Arial" w:cs="Arial"/>
        </w:rPr>
        <w:t>.</w:t>
      </w:r>
      <w:r w:rsidR="009C0F09" w:rsidRPr="003234C5">
        <w:rPr>
          <w:rFonts w:ascii="Arial" w:hAnsi="Arial" w:cs="Arial"/>
        </w:rPr>
        <w:t xml:space="preserve"> </w:t>
      </w:r>
      <w:r w:rsidR="00200682" w:rsidRPr="003234C5">
        <w:rPr>
          <w:rFonts w:ascii="Arial" w:hAnsi="Arial" w:cs="Arial"/>
        </w:rPr>
        <w:t xml:space="preserve">Ações trabalhistas nas quais a Companhia é demandada referem-se, sobretudo, ao reconhecimento de vínculo empregatício e </w:t>
      </w:r>
      <w:r w:rsidR="00FE11AA" w:rsidRPr="003234C5">
        <w:rPr>
          <w:rFonts w:ascii="Arial" w:hAnsi="Arial" w:cs="Arial"/>
        </w:rPr>
        <w:t xml:space="preserve">a </w:t>
      </w:r>
      <w:r w:rsidR="00200682" w:rsidRPr="003234C5">
        <w:rPr>
          <w:rFonts w:ascii="Arial" w:hAnsi="Arial" w:cs="Arial"/>
        </w:rPr>
        <w:t>verbas de natureza salarial.</w:t>
      </w:r>
    </w:p>
    <w:p w14:paraId="236CE6A1" w14:textId="6A371258" w:rsidR="00200682" w:rsidRDefault="00200682" w:rsidP="00200682">
      <w:pPr>
        <w:suppressAutoHyphens w:val="0"/>
        <w:autoSpaceDE w:val="0"/>
        <w:autoSpaceDN w:val="0"/>
        <w:adjustRightInd w:val="0"/>
        <w:spacing w:after="0" w:line="240" w:lineRule="auto"/>
        <w:rPr>
          <w:rFonts w:ascii="Arial" w:hAnsi="Arial" w:cs="Arial"/>
        </w:rPr>
      </w:pP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0"/>
        <w:gridCol w:w="1593"/>
        <w:gridCol w:w="1845"/>
      </w:tblGrid>
      <w:tr w:rsidR="00427BD0" w:rsidRPr="003234C5" w14:paraId="0BD5E66C" w14:textId="77777777" w:rsidTr="005823EC">
        <w:trPr>
          <w:trHeight w:val="227"/>
          <w:jc w:val="center"/>
        </w:trPr>
        <w:tc>
          <w:tcPr>
            <w:tcW w:w="8988" w:type="dxa"/>
            <w:gridSpan w:val="3"/>
            <w:shd w:val="clear" w:color="auto" w:fill="C0C0C0"/>
            <w:vAlign w:val="center"/>
          </w:tcPr>
          <w:p w14:paraId="385ABB72" w14:textId="1A50CDFA" w:rsidR="00427BD0" w:rsidRPr="003234C5" w:rsidRDefault="00427BD0" w:rsidP="008C71D1">
            <w:pPr>
              <w:autoSpaceDE w:val="0"/>
              <w:autoSpaceDN w:val="0"/>
              <w:adjustRightInd w:val="0"/>
              <w:spacing w:after="0"/>
              <w:jc w:val="both"/>
              <w:rPr>
                <w:rFonts w:ascii="Arial" w:hAnsi="Arial" w:cs="Arial"/>
                <w:b/>
                <w:sz w:val="20"/>
                <w:szCs w:val="20"/>
              </w:rPr>
            </w:pPr>
            <w:r>
              <w:rPr>
                <w:rFonts w:ascii="Arial" w:hAnsi="Arial" w:cs="Arial"/>
                <w:b/>
                <w:sz w:val="20"/>
                <w:szCs w:val="20"/>
              </w:rPr>
              <w:t xml:space="preserve">QUADRO DE MOVIMENTAÇÃO DE PROVISÃO </w:t>
            </w:r>
          </w:p>
        </w:tc>
      </w:tr>
      <w:tr w:rsidR="00427BD0" w:rsidRPr="003234C5" w14:paraId="2D5691A7" w14:textId="77777777" w:rsidTr="00371FB1">
        <w:trPr>
          <w:trHeight w:val="227"/>
          <w:jc w:val="center"/>
        </w:trPr>
        <w:tc>
          <w:tcPr>
            <w:tcW w:w="5550" w:type="dxa"/>
            <w:shd w:val="clear" w:color="auto" w:fill="C0C0C0"/>
            <w:vAlign w:val="center"/>
          </w:tcPr>
          <w:p w14:paraId="1E674132" w14:textId="3EA368E9" w:rsidR="00427BD0" w:rsidRPr="003234C5" w:rsidRDefault="00427BD0" w:rsidP="00427BD0">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w:t>
            </w:r>
          </w:p>
        </w:tc>
        <w:tc>
          <w:tcPr>
            <w:tcW w:w="1593" w:type="dxa"/>
            <w:shd w:val="clear" w:color="auto" w:fill="C0C0C0"/>
            <w:vAlign w:val="bottom"/>
          </w:tcPr>
          <w:p w14:paraId="7A3CECD5" w14:textId="1DFC9960" w:rsidR="00427BD0" w:rsidRDefault="00427BD0" w:rsidP="00427BD0">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2019</w:t>
            </w:r>
          </w:p>
        </w:tc>
        <w:tc>
          <w:tcPr>
            <w:tcW w:w="1845" w:type="dxa"/>
            <w:shd w:val="clear" w:color="auto" w:fill="C0C0C0"/>
            <w:vAlign w:val="bottom"/>
          </w:tcPr>
          <w:p w14:paraId="0E56A723" w14:textId="7E94AC79" w:rsidR="00427BD0" w:rsidRDefault="00427BD0" w:rsidP="00427BD0">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2018</w:t>
            </w:r>
          </w:p>
        </w:tc>
      </w:tr>
      <w:tr w:rsidR="00427BD0" w:rsidRPr="003234C5" w14:paraId="29769BFD" w14:textId="77777777" w:rsidTr="00371FB1">
        <w:trPr>
          <w:trHeight w:val="227"/>
          <w:jc w:val="center"/>
        </w:trPr>
        <w:tc>
          <w:tcPr>
            <w:tcW w:w="5550" w:type="dxa"/>
            <w:shd w:val="clear" w:color="auto" w:fill="FFFFFF"/>
            <w:vAlign w:val="bottom"/>
          </w:tcPr>
          <w:p w14:paraId="27F58731" w14:textId="77777777" w:rsidR="00427BD0" w:rsidRPr="003234C5" w:rsidRDefault="00427BD0" w:rsidP="00427BD0">
            <w:pPr>
              <w:spacing w:after="0"/>
              <w:jc w:val="both"/>
              <w:rPr>
                <w:rFonts w:ascii="Arial" w:hAnsi="Arial" w:cs="Arial"/>
                <w:bCs/>
                <w:sz w:val="20"/>
                <w:szCs w:val="20"/>
              </w:rPr>
            </w:pPr>
            <w:r w:rsidRPr="003234C5">
              <w:rPr>
                <w:rFonts w:ascii="Arial" w:hAnsi="Arial" w:cs="Arial"/>
                <w:bCs/>
                <w:sz w:val="20"/>
                <w:szCs w:val="20"/>
              </w:rPr>
              <w:t>Saldo Inicial</w:t>
            </w:r>
          </w:p>
        </w:tc>
        <w:tc>
          <w:tcPr>
            <w:tcW w:w="1593" w:type="dxa"/>
            <w:shd w:val="clear" w:color="auto" w:fill="FFFFFF"/>
            <w:vAlign w:val="center"/>
          </w:tcPr>
          <w:p w14:paraId="115020FF" w14:textId="5B3A76D6" w:rsidR="00427BD0" w:rsidRPr="003234C5" w:rsidRDefault="00427BD0" w:rsidP="00427BD0">
            <w:pPr>
              <w:spacing w:after="0"/>
              <w:jc w:val="right"/>
              <w:rPr>
                <w:rFonts w:ascii="Arial" w:hAnsi="Arial" w:cs="Arial"/>
                <w:sz w:val="20"/>
                <w:szCs w:val="20"/>
              </w:rPr>
            </w:pPr>
            <w:r>
              <w:rPr>
                <w:rFonts w:ascii="Arial" w:hAnsi="Arial" w:cs="Arial"/>
                <w:sz w:val="20"/>
                <w:szCs w:val="20"/>
              </w:rPr>
              <w:t>43.311</w:t>
            </w:r>
          </w:p>
        </w:tc>
        <w:tc>
          <w:tcPr>
            <w:tcW w:w="1845" w:type="dxa"/>
            <w:shd w:val="clear" w:color="auto" w:fill="FFFFFF"/>
            <w:vAlign w:val="center"/>
          </w:tcPr>
          <w:p w14:paraId="4A0E80F9" w14:textId="05F63BA0" w:rsidR="00427BD0" w:rsidRPr="003234C5" w:rsidRDefault="00427BD0" w:rsidP="00427BD0">
            <w:pPr>
              <w:spacing w:after="0"/>
              <w:jc w:val="right"/>
              <w:rPr>
                <w:rFonts w:ascii="Arial" w:hAnsi="Arial" w:cs="Arial"/>
                <w:sz w:val="20"/>
                <w:szCs w:val="20"/>
              </w:rPr>
            </w:pPr>
            <w:r w:rsidRPr="003234C5">
              <w:rPr>
                <w:rFonts w:ascii="Arial" w:hAnsi="Arial" w:cs="Arial"/>
                <w:color w:val="000000"/>
                <w:sz w:val="20"/>
                <w:szCs w:val="20"/>
              </w:rPr>
              <w:t>38.997</w:t>
            </w:r>
          </w:p>
        </w:tc>
      </w:tr>
      <w:tr w:rsidR="00427BD0" w:rsidRPr="003234C5" w14:paraId="56393B44" w14:textId="77777777" w:rsidTr="00371FB1">
        <w:trPr>
          <w:trHeight w:val="227"/>
          <w:jc w:val="center"/>
        </w:trPr>
        <w:tc>
          <w:tcPr>
            <w:tcW w:w="5550" w:type="dxa"/>
            <w:shd w:val="clear" w:color="auto" w:fill="FFFFFF"/>
            <w:vAlign w:val="bottom"/>
          </w:tcPr>
          <w:p w14:paraId="464AEFFB" w14:textId="77777777" w:rsidR="00427BD0" w:rsidRPr="003234C5" w:rsidRDefault="00427BD0" w:rsidP="00427BD0">
            <w:pPr>
              <w:spacing w:after="0"/>
              <w:jc w:val="both"/>
              <w:rPr>
                <w:rFonts w:ascii="Arial" w:hAnsi="Arial" w:cs="Arial"/>
                <w:bCs/>
                <w:sz w:val="20"/>
                <w:szCs w:val="20"/>
              </w:rPr>
            </w:pPr>
            <w:r w:rsidRPr="003234C5">
              <w:rPr>
                <w:rFonts w:ascii="Arial" w:hAnsi="Arial" w:cs="Arial"/>
                <w:bCs/>
                <w:sz w:val="20"/>
                <w:szCs w:val="20"/>
              </w:rPr>
              <w:t>Constituição de Provisão no Período</w:t>
            </w:r>
          </w:p>
        </w:tc>
        <w:tc>
          <w:tcPr>
            <w:tcW w:w="1593" w:type="dxa"/>
            <w:shd w:val="clear" w:color="auto" w:fill="FFFFFF"/>
            <w:vAlign w:val="center"/>
          </w:tcPr>
          <w:p w14:paraId="43E55D6E" w14:textId="7F257DA7" w:rsidR="00427BD0" w:rsidRPr="003234C5" w:rsidRDefault="00427BD0" w:rsidP="00427BD0">
            <w:pPr>
              <w:suppressAutoHyphens w:val="0"/>
              <w:spacing w:after="0" w:line="240" w:lineRule="auto"/>
              <w:jc w:val="right"/>
              <w:rPr>
                <w:rFonts w:ascii="Arial" w:hAnsi="Arial" w:cs="Arial"/>
                <w:sz w:val="20"/>
                <w:szCs w:val="20"/>
              </w:rPr>
            </w:pPr>
            <w:r>
              <w:rPr>
                <w:rFonts w:ascii="Arial" w:hAnsi="Arial" w:cs="Arial"/>
                <w:sz w:val="20"/>
                <w:szCs w:val="20"/>
              </w:rPr>
              <w:t>4.374</w:t>
            </w:r>
          </w:p>
        </w:tc>
        <w:tc>
          <w:tcPr>
            <w:tcW w:w="1845" w:type="dxa"/>
            <w:shd w:val="clear" w:color="auto" w:fill="FFFFFF"/>
            <w:vAlign w:val="center"/>
          </w:tcPr>
          <w:p w14:paraId="513E185B" w14:textId="5F5F2ED4" w:rsidR="00427BD0" w:rsidRPr="003234C5" w:rsidRDefault="00427BD0" w:rsidP="00427BD0">
            <w:pPr>
              <w:spacing w:after="0"/>
              <w:jc w:val="right"/>
              <w:rPr>
                <w:rFonts w:ascii="Arial" w:hAnsi="Arial" w:cs="Arial"/>
                <w:sz w:val="20"/>
                <w:szCs w:val="20"/>
              </w:rPr>
            </w:pPr>
            <w:r w:rsidRPr="003234C5">
              <w:rPr>
                <w:rFonts w:ascii="Arial" w:hAnsi="Arial" w:cs="Arial"/>
                <w:color w:val="000000"/>
                <w:sz w:val="20"/>
                <w:szCs w:val="20"/>
              </w:rPr>
              <w:t>4.314</w:t>
            </w:r>
          </w:p>
        </w:tc>
      </w:tr>
      <w:tr w:rsidR="00427BD0" w:rsidRPr="003234C5" w14:paraId="5241EBB3" w14:textId="77777777" w:rsidTr="00371FB1">
        <w:trPr>
          <w:trHeight w:val="227"/>
          <w:jc w:val="center"/>
        </w:trPr>
        <w:tc>
          <w:tcPr>
            <w:tcW w:w="5550" w:type="dxa"/>
            <w:shd w:val="clear" w:color="auto" w:fill="C0C0C0"/>
            <w:vAlign w:val="bottom"/>
          </w:tcPr>
          <w:p w14:paraId="73FFE0C3" w14:textId="77777777" w:rsidR="00427BD0" w:rsidRPr="003234C5" w:rsidRDefault="00427BD0" w:rsidP="00427BD0">
            <w:pPr>
              <w:autoSpaceDE w:val="0"/>
              <w:autoSpaceDN w:val="0"/>
              <w:adjustRightInd w:val="0"/>
              <w:spacing w:after="0"/>
              <w:jc w:val="both"/>
              <w:rPr>
                <w:rFonts w:ascii="Arial" w:hAnsi="Arial" w:cs="Arial"/>
                <w:b/>
                <w:sz w:val="20"/>
                <w:szCs w:val="20"/>
              </w:rPr>
            </w:pPr>
            <w:r w:rsidRPr="003234C5">
              <w:rPr>
                <w:rFonts w:ascii="Arial" w:hAnsi="Arial" w:cs="Arial"/>
                <w:b/>
                <w:sz w:val="20"/>
                <w:szCs w:val="20"/>
              </w:rPr>
              <w:t>SALDO FINAL</w:t>
            </w:r>
          </w:p>
        </w:tc>
        <w:tc>
          <w:tcPr>
            <w:tcW w:w="1593" w:type="dxa"/>
            <w:shd w:val="clear" w:color="auto" w:fill="C0C0C0"/>
            <w:vAlign w:val="center"/>
          </w:tcPr>
          <w:p w14:paraId="3A5E803E" w14:textId="416DB343" w:rsidR="00427BD0" w:rsidRPr="003234C5" w:rsidRDefault="00427BD0" w:rsidP="00427BD0">
            <w:pPr>
              <w:autoSpaceDE w:val="0"/>
              <w:autoSpaceDN w:val="0"/>
              <w:adjustRightInd w:val="0"/>
              <w:spacing w:after="0"/>
              <w:jc w:val="right"/>
              <w:rPr>
                <w:rFonts w:ascii="Arial" w:hAnsi="Arial" w:cs="Arial"/>
                <w:b/>
                <w:sz w:val="20"/>
                <w:szCs w:val="20"/>
              </w:rPr>
            </w:pPr>
            <w:r>
              <w:rPr>
                <w:rFonts w:ascii="Arial" w:hAnsi="Arial" w:cs="Arial"/>
                <w:b/>
                <w:sz w:val="20"/>
                <w:szCs w:val="20"/>
              </w:rPr>
              <w:t>47.685</w:t>
            </w:r>
          </w:p>
        </w:tc>
        <w:tc>
          <w:tcPr>
            <w:tcW w:w="1845" w:type="dxa"/>
            <w:shd w:val="clear" w:color="auto" w:fill="C0C0C0"/>
            <w:vAlign w:val="center"/>
          </w:tcPr>
          <w:p w14:paraId="566A9779" w14:textId="35C48193" w:rsidR="00427BD0" w:rsidRPr="003234C5" w:rsidRDefault="00427BD0" w:rsidP="00427BD0">
            <w:pPr>
              <w:autoSpaceDE w:val="0"/>
              <w:autoSpaceDN w:val="0"/>
              <w:adjustRightInd w:val="0"/>
              <w:spacing w:after="0"/>
              <w:jc w:val="right"/>
              <w:rPr>
                <w:rFonts w:ascii="Arial" w:hAnsi="Arial" w:cs="Arial"/>
                <w:b/>
                <w:sz w:val="20"/>
                <w:szCs w:val="20"/>
              </w:rPr>
            </w:pPr>
            <w:r w:rsidRPr="003234C5">
              <w:rPr>
                <w:rFonts w:ascii="Arial" w:hAnsi="Arial" w:cs="Arial"/>
                <w:b/>
                <w:bCs/>
                <w:color w:val="000000"/>
                <w:sz w:val="20"/>
                <w:szCs w:val="20"/>
              </w:rPr>
              <w:t>43.311</w:t>
            </w:r>
          </w:p>
        </w:tc>
      </w:tr>
    </w:tbl>
    <w:p w14:paraId="202BA840" w14:textId="77777777" w:rsidR="001B76BC" w:rsidRPr="003234C5" w:rsidRDefault="001B76BC" w:rsidP="00200682">
      <w:pPr>
        <w:jc w:val="both"/>
        <w:rPr>
          <w:rFonts w:ascii="Arial" w:hAnsi="Arial" w:cs="Arial"/>
          <w:color w:val="000000" w:themeColor="text1"/>
        </w:rPr>
      </w:pPr>
    </w:p>
    <w:p w14:paraId="740C368A" w14:textId="585B0E9F" w:rsidR="00200682" w:rsidRPr="003234C5" w:rsidRDefault="00200682" w:rsidP="00200682">
      <w:pPr>
        <w:jc w:val="both"/>
        <w:rPr>
          <w:rFonts w:ascii="Arial" w:hAnsi="Arial" w:cs="Arial"/>
          <w:color w:val="000000" w:themeColor="text1"/>
        </w:rPr>
      </w:pPr>
      <w:r w:rsidRPr="00B7579D">
        <w:rPr>
          <w:rFonts w:ascii="Arial" w:hAnsi="Arial" w:cs="Arial"/>
          <w:color w:val="000000" w:themeColor="text1"/>
        </w:rPr>
        <w:t>Os passivos contingentes classificados, e</w:t>
      </w:r>
      <w:r w:rsidR="00516D83" w:rsidRPr="00B7579D">
        <w:rPr>
          <w:rFonts w:ascii="Arial" w:hAnsi="Arial" w:cs="Arial"/>
          <w:color w:val="000000" w:themeColor="text1"/>
        </w:rPr>
        <w:t>m 3</w:t>
      </w:r>
      <w:r w:rsidR="00F10BF4" w:rsidRPr="00B7579D">
        <w:rPr>
          <w:rFonts w:ascii="Arial" w:hAnsi="Arial" w:cs="Arial"/>
          <w:color w:val="000000" w:themeColor="text1"/>
        </w:rPr>
        <w:t>1</w:t>
      </w:r>
      <w:r w:rsidR="00516D83" w:rsidRPr="00B7579D">
        <w:rPr>
          <w:rFonts w:ascii="Arial" w:hAnsi="Arial" w:cs="Arial"/>
          <w:color w:val="000000" w:themeColor="text1"/>
        </w:rPr>
        <w:t xml:space="preserve"> de </w:t>
      </w:r>
      <w:r w:rsidR="00F10BF4" w:rsidRPr="00B7579D">
        <w:rPr>
          <w:rFonts w:ascii="Arial" w:hAnsi="Arial" w:cs="Arial"/>
          <w:color w:val="000000" w:themeColor="text1"/>
        </w:rPr>
        <w:t>dezembro</w:t>
      </w:r>
      <w:r w:rsidR="00516D83" w:rsidRPr="00B7579D">
        <w:rPr>
          <w:rFonts w:ascii="Arial" w:hAnsi="Arial" w:cs="Arial"/>
          <w:color w:val="000000" w:themeColor="text1"/>
        </w:rPr>
        <w:t xml:space="preserve"> de 201</w:t>
      </w:r>
      <w:r w:rsidR="000865F8" w:rsidRPr="00B7579D">
        <w:rPr>
          <w:rFonts w:ascii="Arial" w:hAnsi="Arial" w:cs="Arial"/>
          <w:color w:val="000000" w:themeColor="text1"/>
        </w:rPr>
        <w:t>9</w:t>
      </w:r>
      <w:r w:rsidR="00516D83" w:rsidRPr="00B7579D">
        <w:rPr>
          <w:rFonts w:ascii="Arial" w:hAnsi="Arial" w:cs="Arial"/>
          <w:color w:val="000000" w:themeColor="text1"/>
        </w:rPr>
        <w:t>, pela Assessoria J</w:t>
      </w:r>
      <w:r w:rsidRPr="00B7579D">
        <w:rPr>
          <w:rFonts w:ascii="Arial" w:hAnsi="Arial" w:cs="Arial"/>
          <w:color w:val="000000" w:themeColor="text1"/>
        </w:rPr>
        <w:t>urídica da Companhia como de perda possível e que não estão provisionados estão evidenciados no quadro abaixo:</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3"/>
        <w:gridCol w:w="2388"/>
      </w:tblGrid>
      <w:tr w:rsidR="00200682" w:rsidRPr="003234C5" w14:paraId="102B6AA3" w14:textId="77777777" w:rsidTr="00371FB1">
        <w:trPr>
          <w:trHeight w:val="227"/>
          <w:jc w:val="center"/>
        </w:trPr>
        <w:tc>
          <w:tcPr>
            <w:tcW w:w="6543" w:type="dxa"/>
            <w:shd w:val="clear" w:color="auto" w:fill="C0C0C0"/>
            <w:vAlign w:val="center"/>
          </w:tcPr>
          <w:p w14:paraId="13953629" w14:textId="77777777" w:rsidR="00200682" w:rsidRPr="003234C5" w:rsidRDefault="00200682" w:rsidP="00E8434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Natureza</w:t>
            </w:r>
          </w:p>
        </w:tc>
        <w:tc>
          <w:tcPr>
            <w:tcW w:w="2388" w:type="dxa"/>
            <w:shd w:val="clear" w:color="auto" w:fill="C0C0C0"/>
          </w:tcPr>
          <w:p w14:paraId="5E4B7745" w14:textId="77777777" w:rsidR="00200682" w:rsidRPr="003234C5" w:rsidRDefault="00200682" w:rsidP="00E84342">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Valor da Causa</w:t>
            </w:r>
          </w:p>
        </w:tc>
      </w:tr>
      <w:tr w:rsidR="002444F4" w:rsidRPr="003234C5" w14:paraId="2B7A43B0" w14:textId="77777777" w:rsidTr="00371FB1">
        <w:trPr>
          <w:trHeight w:val="227"/>
          <w:jc w:val="center"/>
        </w:trPr>
        <w:tc>
          <w:tcPr>
            <w:tcW w:w="6543" w:type="dxa"/>
            <w:shd w:val="clear" w:color="auto" w:fill="FFFFFF"/>
            <w:vAlign w:val="bottom"/>
          </w:tcPr>
          <w:p w14:paraId="6CA69726" w14:textId="77777777" w:rsidR="002444F4" w:rsidRPr="003234C5" w:rsidRDefault="002444F4" w:rsidP="002444F4">
            <w:pPr>
              <w:spacing w:after="0"/>
              <w:jc w:val="both"/>
              <w:rPr>
                <w:rFonts w:ascii="Arial" w:hAnsi="Arial" w:cs="Arial"/>
                <w:bCs/>
                <w:sz w:val="20"/>
                <w:szCs w:val="20"/>
              </w:rPr>
            </w:pPr>
            <w:r w:rsidRPr="003234C5">
              <w:rPr>
                <w:rFonts w:ascii="Arial" w:hAnsi="Arial" w:cs="Arial"/>
                <w:bCs/>
                <w:sz w:val="20"/>
                <w:szCs w:val="20"/>
              </w:rPr>
              <w:t>Trabalhista</w:t>
            </w:r>
          </w:p>
        </w:tc>
        <w:tc>
          <w:tcPr>
            <w:tcW w:w="2388" w:type="dxa"/>
            <w:shd w:val="clear" w:color="auto" w:fill="FFFFFF"/>
            <w:vAlign w:val="center"/>
          </w:tcPr>
          <w:p w14:paraId="4E0185E3" w14:textId="28FAB834" w:rsidR="002444F4" w:rsidRPr="003234C5" w:rsidRDefault="00B7579D" w:rsidP="002444F4">
            <w:pPr>
              <w:spacing w:after="0"/>
              <w:jc w:val="right"/>
              <w:rPr>
                <w:rFonts w:ascii="Arial" w:hAnsi="Arial" w:cs="Arial"/>
                <w:sz w:val="20"/>
                <w:szCs w:val="20"/>
              </w:rPr>
            </w:pPr>
            <w:r>
              <w:rPr>
                <w:rFonts w:ascii="Arial" w:hAnsi="Arial" w:cs="Arial"/>
                <w:sz w:val="20"/>
                <w:szCs w:val="20"/>
              </w:rPr>
              <w:t>470</w:t>
            </w:r>
          </w:p>
        </w:tc>
      </w:tr>
      <w:tr w:rsidR="002444F4" w:rsidRPr="003234C5" w14:paraId="4AE44F47" w14:textId="77777777" w:rsidTr="00371FB1">
        <w:trPr>
          <w:trHeight w:val="227"/>
          <w:jc w:val="center"/>
        </w:trPr>
        <w:tc>
          <w:tcPr>
            <w:tcW w:w="6543" w:type="dxa"/>
            <w:shd w:val="clear" w:color="auto" w:fill="FFFFFF"/>
            <w:vAlign w:val="bottom"/>
          </w:tcPr>
          <w:p w14:paraId="0C8371D6" w14:textId="77777777" w:rsidR="002444F4" w:rsidRPr="003234C5" w:rsidRDefault="002444F4" w:rsidP="002444F4">
            <w:pPr>
              <w:spacing w:after="0"/>
              <w:jc w:val="both"/>
              <w:rPr>
                <w:rFonts w:ascii="Arial" w:hAnsi="Arial" w:cs="Arial"/>
                <w:bCs/>
                <w:sz w:val="20"/>
                <w:szCs w:val="20"/>
              </w:rPr>
            </w:pPr>
            <w:r w:rsidRPr="003234C5">
              <w:rPr>
                <w:rFonts w:ascii="Arial" w:hAnsi="Arial" w:cs="Arial"/>
                <w:bCs/>
                <w:sz w:val="20"/>
                <w:szCs w:val="20"/>
              </w:rPr>
              <w:t>Cível</w:t>
            </w:r>
          </w:p>
        </w:tc>
        <w:tc>
          <w:tcPr>
            <w:tcW w:w="2388" w:type="dxa"/>
            <w:shd w:val="clear" w:color="auto" w:fill="FFFFFF"/>
            <w:vAlign w:val="center"/>
          </w:tcPr>
          <w:p w14:paraId="29B2C961" w14:textId="0D9F470B" w:rsidR="002444F4" w:rsidRPr="003234C5" w:rsidRDefault="00B7579D" w:rsidP="002444F4">
            <w:pPr>
              <w:suppressAutoHyphens w:val="0"/>
              <w:spacing w:after="0" w:line="240" w:lineRule="auto"/>
              <w:jc w:val="right"/>
              <w:rPr>
                <w:rFonts w:ascii="Arial" w:hAnsi="Arial" w:cs="Arial"/>
                <w:sz w:val="20"/>
                <w:szCs w:val="20"/>
              </w:rPr>
            </w:pPr>
            <w:r>
              <w:rPr>
                <w:rFonts w:ascii="Arial" w:hAnsi="Arial" w:cs="Arial"/>
                <w:sz w:val="20"/>
                <w:szCs w:val="20"/>
              </w:rPr>
              <w:t>5.932</w:t>
            </w:r>
          </w:p>
        </w:tc>
      </w:tr>
      <w:tr w:rsidR="002444F4" w:rsidRPr="003234C5" w14:paraId="32C330E0" w14:textId="77777777" w:rsidTr="00371FB1">
        <w:trPr>
          <w:trHeight w:val="227"/>
          <w:jc w:val="center"/>
        </w:trPr>
        <w:tc>
          <w:tcPr>
            <w:tcW w:w="6543" w:type="dxa"/>
            <w:shd w:val="clear" w:color="auto" w:fill="FFFFFF"/>
            <w:vAlign w:val="bottom"/>
          </w:tcPr>
          <w:p w14:paraId="33C223BF" w14:textId="77777777" w:rsidR="002444F4" w:rsidRPr="003234C5" w:rsidRDefault="002444F4" w:rsidP="002444F4">
            <w:pPr>
              <w:spacing w:after="0"/>
              <w:jc w:val="both"/>
              <w:rPr>
                <w:rFonts w:ascii="Arial" w:hAnsi="Arial" w:cs="Arial"/>
                <w:bCs/>
                <w:sz w:val="20"/>
                <w:szCs w:val="20"/>
              </w:rPr>
            </w:pPr>
            <w:r w:rsidRPr="003234C5">
              <w:rPr>
                <w:rFonts w:ascii="Arial" w:hAnsi="Arial" w:cs="Arial"/>
                <w:bCs/>
                <w:sz w:val="20"/>
                <w:szCs w:val="20"/>
              </w:rPr>
              <w:t>Tributária</w:t>
            </w:r>
          </w:p>
        </w:tc>
        <w:tc>
          <w:tcPr>
            <w:tcW w:w="2388" w:type="dxa"/>
            <w:shd w:val="clear" w:color="auto" w:fill="FFFFFF"/>
            <w:vAlign w:val="center"/>
          </w:tcPr>
          <w:p w14:paraId="39E21EC5" w14:textId="44C4AC02" w:rsidR="002444F4" w:rsidRPr="003234C5" w:rsidRDefault="00D01F4B" w:rsidP="002444F4">
            <w:pPr>
              <w:spacing w:after="0"/>
              <w:jc w:val="right"/>
              <w:rPr>
                <w:rFonts w:ascii="Arial" w:hAnsi="Arial" w:cs="Arial"/>
                <w:sz w:val="20"/>
                <w:szCs w:val="20"/>
              </w:rPr>
            </w:pPr>
            <w:r>
              <w:rPr>
                <w:rFonts w:ascii="Arial" w:hAnsi="Arial" w:cs="Arial"/>
                <w:sz w:val="20"/>
                <w:szCs w:val="20"/>
              </w:rPr>
              <w:t>2.982</w:t>
            </w:r>
          </w:p>
        </w:tc>
      </w:tr>
      <w:tr w:rsidR="002444F4" w:rsidRPr="003234C5" w14:paraId="6F40FF12" w14:textId="77777777" w:rsidTr="00371FB1">
        <w:trPr>
          <w:trHeight w:val="227"/>
          <w:jc w:val="center"/>
        </w:trPr>
        <w:tc>
          <w:tcPr>
            <w:tcW w:w="6543" w:type="dxa"/>
            <w:shd w:val="clear" w:color="auto" w:fill="C0C0C0"/>
            <w:vAlign w:val="bottom"/>
          </w:tcPr>
          <w:p w14:paraId="0536DBE4" w14:textId="77777777" w:rsidR="002444F4" w:rsidRPr="003234C5" w:rsidRDefault="002444F4" w:rsidP="002444F4">
            <w:pPr>
              <w:autoSpaceDE w:val="0"/>
              <w:autoSpaceDN w:val="0"/>
              <w:adjustRightInd w:val="0"/>
              <w:spacing w:after="0"/>
              <w:jc w:val="both"/>
              <w:rPr>
                <w:rFonts w:ascii="Arial" w:hAnsi="Arial" w:cs="Arial"/>
                <w:b/>
                <w:sz w:val="20"/>
                <w:szCs w:val="20"/>
              </w:rPr>
            </w:pPr>
            <w:r w:rsidRPr="003234C5">
              <w:rPr>
                <w:rFonts w:ascii="Arial" w:hAnsi="Arial" w:cs="Arial"/>
                <w:b/>
                <w:sz w:val="20"/>
                <w:szCs w:val="20"/>
              </w:rPr>
              <w:t>SALDO FINAL</w:t>
            </w:r>
          </w:p>
        </w:tc>
        <w:tc>
          <w:tcPr>
            <w:tcW w:w="2388" w:type="dxa"/>
            <w:shd w:val="clear" w:color="auto" w:fill="C0C0C0"/>
            <w:vAlign w:val="center"/>
          </w:tcPr>
          <w:p w14:paraId="249E7D7E" w14:textId="327534A8" w:rsidR="002444F4" w:rsidRPr="003234C5" w:rsidRDefault="00B7579D" w:rsidP="002444F4">
            <w:pPr>
              <w:autoSpaceDE w:val="0"/>
              <w:autoSpaceDN w:val="0"/>
              <w:adjustRightInd w:val="0"/>
              <w:spacing w:after="0"/>
              <w:jc w:val="right"/>
              <w:rPr>
                <w:rFonts w:ascii="Arial" w:hAnsi="Arial" w:cs="Arial"/>
                <w:b/>
                <w:sz w:val="20"/>
                <w:szCs w:val="20"/>
              </w:rPr>
            </w:pPr>
            <w:r>
              <w:rPr>
                <w:rFonts w:ascii="Arial" w:hAnsi="Arial" w:cs="Arial"/>
                <w:b/>
                <w:sz w:val="20"/>
                <w:szCs w:val="20"/>
              </w:rPr>
              <w:t>9.384</w:t>
            </w:r>
          </w:p>
        </w:tc>
      </w:tr>
    </w:tbl>
    <w:p w14:paraId="6D9D73B6" w14:textId="77777777" w:rsidR="00140A3C" w:rsidRPr="003234C5" w:rsidRDefault="00140A3C" w:rsidP="00523C1A">
      <w:pPr>
        <w:widowControl w:val="0"/>
        <w:spacing w:after="0"/>
        <w:jc w:val="both"/>
        <w:rPr>
          <w:rFonts w:ascii="Arial" w:hAnsi="Arial" w:cs="Arial"/>
          <w:sz w:val="24"/>
          <w:szCs w:val="24"/>
        </w:rPr>
      </w:pPr>
    </w:p>
    <w:p w14:paraId="6D94C81D" w14:textId="77777777" w:rsidR="00BF1849" w:rsidRDefault="00BF1849" w:rsidP="006E2636">
      <w:pPr>
        <w:widowControl w:val="0"/>
        <w:jc w:val="both"/>
        <w:rPr>
          <w:rFonts w:ascii="Arial" w:hAnsi="Arial" w:cs="Arial"/>
          <w:b/>
        </w:rPr>
      </w:pPr>
    </w:p>
    <w:p w14:paraId="64A8A75A" w14:textId="7A140871" w:rsidR="006E2636" w:rsidRPr="003234C5" w:rsidRDefault="006E2636" w:rsidP="006E2636">
      <w:pPr>
        <w:widowControl w:val="0"/>
        <w:jc w:val="both"/>
        <w:rPr>
          <w:rFonts w:ascii="Arial" w:hAnsi="Arial" w:cs="Arial"/>
          <w:b/>
        </w:rPr>
      </w:pPr>
      <w:r w:rsidRPr="003234C5">
        <w:rPr>
          <w:rFonts w:ascii="Arial" w:hAnsi="Arial" w:cs="Arial"/>
          <w:b/>
        </w:rPr>
        <w:lastRenderedPageBreak/>
        <w:t>NOTA 2</w:t>
      </w:r>
      <w:r w:rsidR="00B2786C">
        <w:rPr>
          <w:rFonts w:ascii="Arial" w:hAnsi="Arial" w:cs="Arial"/>
          <w:b/>
        </w:rPr>
        <w:t>5</w:t>
      </w:r>
      <w:r w:rsidRPr="003234C5">
        <w:rPr>
          <w:rFonts w:ascii="Arial" w:hAnsi="Arial" w:cs="Arial"/>
          <w:b/>
        </w:rPr>
        <w:t>. DESTINAÇÃO DO LUCRO DO EXERCÍCIO E DIVIDENDOS A PAGAR</w:t>
      </w:r>
    </w:p>
    <w:p w14:paraId="7CB688B4" w14:textId="55824CCC" w:rsidR="006E2636" w:rsidRPr="003234C5" w:rsidRDefault="006E2636" w:rsidP="006E2636">
      <w:pPr>
        <w:autoSpaceDE w:val="0"/>
        <w:autoSpaceDN w:val="0"/>
        <w:adjustRightInd w:val="0"/>
        <w:jc w:val="both"/>
        <w:rPr>
          <w:rFonts w:ascii="Arial" w:hAnsi="Arial" w:cs="Arial"/>
        </w:rPr>
      </w:pPr>
      <w:r w:rsidRPr="003234C5">
        <w:rPr>
          <w:rFonts w:ascii="Arial" w:hAnsi="Arial" w:cs="Arial"/>
        </w:rPr>
        <w:t>O Estatuto Social da companhia determina a distribuição de um dividendo mínimo anual de 25% do lucro líquido, ajustado pelas movimentações patrimoniais das reservas, conforme determinado pela Lei nº 6.404/76, nos termos do seu artigo 202 e suas posteriores alterações. E o artigo 4° do Estatuto da Companhia determina o pagamento mínimo aos titulares de ações preferenciais no montante de 6% do capital social.</w:t>
      </w:r>
    </w:p>
    <w:p w14:paraId="0EC4E59F" w14:textId="2CFE175C" w:rsidR="006E2636" w:rsidRPr="003234C5" w:rsidRDefault="006E2636" w:rsidP="006E2636">
      <w:pPr>
        <w:autoSpaceDE w:val="0"/>
        <w:autoSpaceDN w:val="0"/>
        <w:adjustRightInd w:val="0"/>
        <w:jc w:val="both"/>
        <w:rPr>
          <w:rFonts w:ascii="Arial" w:hAnsi="Arial" w:cs="Arial"/>
        </w:rPr>
      </w:pPr>
      <w:r w:rsidRPr="003234C5">
        <w:rPr>
          <w:rFonts w:ascii="Arial" w:hAnsi="Arial" w:cs="Arial"/>
        </w:rPr>
        <w:t>O pronunciamento técnico ICPC 08 estabelece que o dividendo adicional ao mínimo obrigatório contido em proposta da administração efetuada antes da deliberação em Assembleia Geral deve ser mantido no patrimônio líquido em conta específica “dividendo adicional proposto”. Os Juros sobre o Capital Próprio foram imputados aos dividendos obrigatórios nos anos de 201</w:t>
      </w:r>
      <w:r w:rsidR="00AE4471">
        <w:rPr>
          <w:rFonts w:ascii="Arial" w:hAnsi="Arial" w:cs="Arial"/>
        </w:rPr>
        <w:t>9</w:t>
      </w:r>
      <w:r w:rsidRPr="003234C5">
        <w:rPr>
          <w:rFonts w:ascii="Arial" w:hAnsi="Arial" w:cs="Arial"/>
        </w:rPr>
        <w:t xml:space="preserve"> e de 201</w:t>
      </w:r>
      <w:r w:rsidR="00D70696">
        <w:rPr>
          <w:rFonts w:ascii="Arial" w:hAnsi="Arial" w:cs="Arial"/>
        </w:rPr>
        <w:t>8</w:t>
      </w:r>
      <w:r w:rsidR="00427BD0">
        <w:rPr>
          <w:rFonts w:ascii="Arial" w:hAnsi="Arial" w:cs="Arial"/>
        </w:rPr>
        <w:t>, líquido de Imposto de Renda Retido na Fonte</w:t>
      </w:r>
      <w:r w:rsidRPr="003234C5">
        <w:rPr>
          <w:rFonts w:ascii="Arial" w:hAnsi="Arial" w:cs="Arial"/>
        </w:rPr>
        <w:t xml:space="preserve">. </w:t>
      </w:r>
    </w:p>
    <w:p w14:paraId="0CE538C0" w14:textId="50BEDB31" w:rsidR="00BF1849" w:rsidRPr="003234C5" w:rsidRDefault="006E2636" w:rsidP="006E2636">
      <w:pPr>
        <w:widowControl w:val="0"/>
        <w:jc w:val="both"/>
        <w:rPr>
          <w:rFonts w:ascii="Arial" w:hAnsi="Arial" w:cs="Arial"/>
        </w:rPr>
      </w:pPr>
      <w:r w:rsidRPr="00B2786C">
        <w:rPr>
          <w:rFonts w:ascii="Arial" w:hAnsi="Arial" w:cs="Arial"/>
        </w:rPr>
        <w:t>Os dividendos adicionais propostos</w:t>
      </w:r>
      <w:r w:rsidR="00B2786C" w:rsidRPr="00B2786C">
        <w:rPr>
          <w:rFonts w:ascii="Arial" w:hAnsi="Arial" w:cs="Arial"/>
        </w:rPr>
        <w:t>, nos</w:t>
      </w:r>
      <w:r w:rsidR="00B2786C">
        <w:rPr>
          <w:rFonts w:ascii="Arial" w:hAnsi="Arial" w:cs="Arial"/>
        </w:rPr>
        <w:t xml:space="preserve"> exercícios de 31 de dezembro de 2019 e de 2018, são demonstrados como segue:</w:t>
      </w:r>
    </w:p>
    <w:tbl>
      <w:tblPr>
        <w:tblW w:w="9067" w:type="dxa"/>
        <w:jc w:val="center"/>
        <w:tblBorders>
          <w:top w:val="single" w:sz="4" w:space="0" w:color="auto"/>
          <w:left w:val="single" w:sz="4" w:space="0" w:color="auto"/>
          <w:bottom w:val="single" w:sz="4" w:space="0" w:color="FFFFFF" w:themeColor="background1"/>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3"/>
        <w:gridCol w:w="992"/>
        <w:gridCol w:w="986"/>
        <w:gridCol w:w="6"/>
      </w:tblGrid>
      <w:tr w:rsidR="000643C6" w:rsidRPr="003234C5" w14:paraId="4A424742" w14:textId="77777777" w:rsidTr="0083387F">
        <w:trPr>
          <w:trHeight w:val="255"/>
          <w:jc w:val="center"/>
        </w:trPr>
        <w:tc>
          <w:tcPr>
            <w:tcW w:w="7083" w:type="dxa"/>
            <w:shd w:val="clear" w:color="000000" w:fill="BFBFBF"/>
            <w:vAlign w:val="center"/>
            <w:hideMark/>
          </w:tcPr>
          <w:p w14:paraId="3991BFD2" w14:textId="77777777" w:rsidR="000643C6" w:rsidRPr="003234C5" w:rsidRDefault="000643C6" w:rsidP="00DE5CEC">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DIVIDENDOS PROPOSTOS</w:t>
            </w:r>
          </w:p>
        </w:tc>
        <w:tc>
          <w:tcPr>
            <w:tcW w:w="992" w:type="dxa"/>
            <w:shd w:val="clear" w:color="000000" w:fill="BFBFBF"/>
            <w:vAlign w:val="center"/>
            <w:hideMark/>
          </w:tcPr>
          <w:p w14:paraId="27789EE0" w14:textId="2A35DCDA" w:rsidR="000643C6" w:rsidRPr="003234C5" w:rsidRDefault="00C6257E" w:rsidP="00DE5CEC">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2019</w:t>
            </w:r>
          </w:p>
        </w:tc>
        <w:tc>
          <w:tcPr>
            <w:tcW w:w="992" w:type="dxa"/>
            <w:gridSpan w:val="2"/>
            <w:shd w:val="clear" w:color="000000" w:fill="BFBFBF"/>
            <w:vAlign w:val="center"/>
            <w:hideMark/>
          </w:tcPr>
          <w:p w14:paraId="5973CB12" w14:textId="7A483955" w:rsidR="000643C6" w:rsidRPr="003234C5" w:rsidRDefault="00C6257E" w:rsidP="00DE5CEC">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2018</w:t>
            </w:r>
          </w:p>
        </w:tc>
      </w:tr>
      <w:tr w:rsidR="00467159" w:rsidRPr="003234C5" w14:paraId="34DF5A56" w14:textId="77777777" w:rsidTr="0083387F">
        <w:trPr>
          <w:trHeight w:val="255"/>
          <w:jc w:val="center"/>
        </w:trPr>
        <w:tc>
          <w:tcPr>
            <w:tcW w:w="7083" w:type="dxa"/>
            <w:shd w:val="clear" w:color="000000" w:fill="FFFFFF"/>
            <w:vAlign w:val="center"/>
            <w:hideMark/>
          </w:tcPr>
          <w:p w14:paraId="6BB48105"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bookmarkStart w:id="37" w:name="_Hlk506326940"/>
            <w:r w:rsidRPr="003234C5">
              <w:rPr>
                <w:rFonts w:ascii="Arial" w:eastAsia="Times New Roman" w:hAnsi="Arial" w:cs="Arial"/>
                <w:kern w:val="0"/>
                <w:sz w:val="20"/>
                <w:szCs w:val="20"/>
                <w:lang w:eastAsia="pt-BR"/>
              </w:rPr>
              <w:t>Lucro Líquido do Exercício</w:t>
            </w:r>
          </w:p>
        </w:tc>
        <w:tc>
          <w:tcPr>
            <w:tcW w:w="992" w:type="dxa"/>
            <w:shd w:val="clear" w:color="000000" w:fill="FFFFFF"/>
            <w:vAlign w:val="center"/>
          </w:tcPr>
          <w:p w14:paraId="06C6990D" w14:textId="3917971C" w:rsidR="00467159" w:rsidRPr="003234C5" w:rsidRDefault="00035149" w:rsidP="00467159">
            <w:pPr>
              <w:suppressAutoHyphens w:val="0"/>
              <w:spacing w:after="0" w:line="240" w:lineRule="auto"/>
              <w:jc w:val="right"/>
              <w:rPr>
                <w:rFonts w:ascii="Arial" w:eastAsia="Times New Roman" w:hAnsi="Arial" w:cs="Arial"/>
                <w:color w:val="000000" w:themeColor="text1"/>
                <w:kern w:val="0"/>
                <w:sz w:val="20"/>
                <w:szCs w:val="20"/>
                <w:lang w:eastAsia="pt-BR"/>
              </w:rPr>
            </w:pPr>
            <w:r>
              <w:rPr>
                <w:rFonts w:ascii="Arial" w:eastAsia="Times New Roman" w:hAnsi="Arial" w:cs="Arial"/>
                <w:color w:val="000000" w:themeColor="text1"/>
                <w:kern w:val="0"/>
                <w:sz w:val="20"/>
                <w:szCs w:val="20"/>
                <w:lang w:eastAsia="pt-BR"/>
              </w:rPr>
              <w:t>60.853</w:t>
            </w:r>
          </w:p>
        </w:tc>
        <w:tc>
          <w:tcPr>
            <w:tcW w:w="992" w:type="dxa"/>
            <w:gridSpan w:val="2"/>
            <w:shd w:val="clear" w:color="000000" w:fill="FFFFFF"/>
            <w:vAlign w:val="center"/>
            <w:hideMark/>
          </w:tcPr>
          <w:p w14:paraId="0BEA417F" w14:textId="495A5857" w:rsidR="00467159" w:rsidRPr="003234C5" w:rsidRDefault="00467159" w:rsidP="00467159">
            <w:pPr>
              <w:suppressAutoHyphens w:val="0"/>
              <w:spacing w:after="0" w:line="240" w:lineRule="auto"/>
              <w:jc w:val="right"/>
              <w:rPr>
                <w:rFonts w:ascii="Arial" w:eastAsia="Times New Roman" w:hAnsi="Arial" w:cs="Arial"/>
                <w:kern w:val="0"/>
                <w:sz w:val="20"/>
                <w:szCs w:val="20"/>
                <w:lang w:eastAsia="pt-BR"/>
              </w:rPr>
            </w:pPr>
            <w:r w:rsidRPr="003234C5">
              <w:rPr>
                <w:rFonts w:ascii="Arial" w:hAnsi="Arial" w:cs="Arial"/>
                <w:color w:val="000000"/>
                <w:sz w:val="20"/>
                <w:szCs w:val="20"/>
              </w:rPr>
              <w:t>56.674</w:t>
            </w:r>
          </w:p>
        </w:tc>
      </w:tr>
      <w:tr w:rsidR="00467159" w:rsidRPr="003234C5" w14:paraId="59E62B5C" w14:textId="77777777" w:rsidTr="0083387F">
        <w:trPr>
          <w:trHeight w:val="255"/>
          <w:jc w:val="center"/>
        </w:trPr>
        <w:tc>
          <w:tcPr>
            <w:tcW w:w="7083" w:type="dxa"/>
            <w:shd w:val="clear" w:color="000000" w:fill="FFFFFF"/>
            <w:vAlign w:val="center"/>
            <w:hideMark/>
          </w:tcPr>
          <w:p w14:paraId="77996DBB"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 Reserva Legal – 5% até o limite de 20% do capital</w:t>
            </w:r>
          </w:p>
        </w:tc>
        <w:tc>
          <w:tcPr>
            <w:tcW w:w="992" w:type="dxa"/>
            <w:shd w:val="clear" w:color="000000" w:fill="FFFFFF"/>
            <w:vAlign w:val="center"/>
          </w:tcPr>
          <w:p w14:paraId="54138CA1" w14:textId="2AE3002D" w:rsidR="00467159" w:rsidRPr="003234C5" w:rsidRDefault="00040CB5" w:rsidP="00040CB5">
            <w:pPr>
              <w:suppressAutoHyphens w:val="0"/>
              <w:spacing w:after="0" w:line="240" w:lineRule="auto"/>
              <w:jc w:val="right"/>
              <w:rPr>
                <w:rFonts w:ascii="Arial" w:eastAsia="Times New Roman" w:hAnsi="Arial" w:cs="Arial"/>
                <w:color w:val="000000" w:themeColor="text1"/>
                <w:kern w:val="0"/>
                <w:sz w:val="20"/>
                <w:szCs w:val="20"/>
                <w:lang w:eastAsia="pt-BR"/>
              </w:rPr>
            </w:pPr>
            <w:r>
              <w:rPr>
                <w:rFonts w:ascii="Arial" w:eastAsia="Times New Roman" w:hAnsi="Arial" w:cs="Arial"/>
                <w:color w:val="000000" w:themeColor="text1"/>
                <w:kern w:val="0"/>
                <w:sz w:val="20"/>
                <w:szCs w:val="20"/>
                <w:lang w:eastAsia="pt-BR"/>
              </w:rPr>
              <w:t>(2.237)</w:t>
            </w:r>
          </w:p>
        </w:tc>
        <w:tc>
          <w:tcPr>
            <w:tcW w:w="992" w:type="dxa"/>
            <w:gridSpan w:val="2"/>
            <w:shd w:val="clear" w:color="000000" w:fill="FFFFFF"/>
            <w:vAlign w:val="center"/>
            <w:hideMark/>
          </w:tcPr>
          <w:p w14:paraId="0D06D355" w14:textId="3F15AAF7" w:rsidR="00467159" w:rsidRPr="003234C5" w:rsidRDefault="00467159" w:rsidP="00467159">
            <w:pPr>
              <w:suppressAutoHyphens w:val="0"/>
              <w:spacing w:after="0" w:line="240" w:lineRule="auto"/>
              <w:jc w:val="right"/>
              <w:rPr>
                <w:rFonts w:ascii="Arial" w:eastAsia="Times New Roman" w:hAnsi="Arial" w:cs="Arial"/>
                <w:kern w:val="0"/>
                <w:sz w:val="20"/>
                <w:szCs w:val="20"/>
                <w:lang w:eastAsia="pt-BR"/>
              </w:rPr>
            </w:pPr>
            <w:r w:rsidRPr="003234C5">
              <w:rPr>
                <w:rFonts w:ascii="Arial" w:hAnsi="Arial" w:cs="Arial"/>
                <w:sz w:val="20"/>
                <w:szCs w:val="20"/>
              </w:rPr>
              <w:t>(2.369)</w:t>
            </w:r>
          </w:p>
        </w:tc>
      </w:tr>
      <w:tr w:rsidR="00467159" w:rsidRPr="003234C5" w14:paraId="23339C84" w14:textId="77777777" w:rsidTr="0083387F">
        <w:trPr>
          <w:trHeight w:val="255"/>
          <w:jc w:val="center"/>
        </w:trPr>
        <w:tc>
          <w:tcPr>
            <w:tcW w:w="7083" w:type="dxa"/>
            <w:shd w:val="clear" w:color="000000" w:fill="FFFFFF"/>
            <w:vAlign w:val="center"/>
            <w:hideMark/>
          </w:tcPr>
          <w:p w14:paraId="6E1A4D33"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 Reserva de Incentivos Fiscais – IRPJ</w:t>
            </w:r>
          </w:p>
        </w:tc>
        <w:tc>
          <w:tcPr>
            <w:tcW w:w="992" w:type="dxa"/>
            <w:shd w:val="clear" w:color="000000" w:fill="FFFFFF"/>
            <w:vAlign w:val="center"/>
          </w:tcPr>
          <w:p w14:paraId="02108322" w14:textId="4C648F31" w:rsidR="00467159" w:rsidRPr="007009E4" w:rsidRDefault="007009E4" w:rsidP="00467159">
            <w:pPr>
              <w:suppressAutoHyphens w:val="0"/>
              <w:spacing w:after="0" w:line="240" w:lineRule="auto"/>
              <w:jc w:val="right"/>
              <w:rPr>
                <w:rFonts w:ascii="Arial" w:eastAsia="Times New Roman" w:hAnsi="Arial" w:cs="Arial"/>
                <w:color w:val="000000" w:themeColor="text1"/>
                <w:kern w:val="0"/>
                <w:sz w:val="20"/>
                <w:szCs w:val="20"/>
                <w:lang w:eastAsia="pt-BR"/>
              </w:rPr>
            </w:pPr>
            <w:r w:rsidRPr="007009E4">
              <w:rPr>
                <w:rFonts w:ascii="Arial" w:eastAsia="Times New Roman" w:hAnsi="Arial" w:cs="Arial"/>
                <w:color w:val="000000" w:themeColor="text1"/>
                <w:kern w:val="0"/>
                <w:sz w:val="20"/>
                <w:szCs w:val="20"/>
                <w:lang w:eastAsia="pt-BR"/>
              </w:rPr>
              <w:t>(11.</w:t>
            </w:r>
            <w:r w:rsidR="00040CB5">
              <w:rPr>
                <w:rFonts w:ascii="Arial" w:eastAsia="Times New Roman" w:hAnsi="Arial" w:cs="Arial"/>
                <w:color w:val="000000" w:themeColor="text1"/>
                <w:kern w:val="0"/>
                <w:sz w:val="20"/>
                <w:szCs w:val="20"/>
                <w:lang w:eastAsia="pt-BR"/>
              </w:rPr>
              <w:t>847</w:t>
            </w:r>
            <w:r w:rsidRPr="007009E4">
              <w:rPr>
                <w:rFonts w:ascii="Arial" w:eastAsia="Times New Roman" w:hAnsi="Arial" w:cs="Arial"/>
                <w:color w:val="000000" w:themeColor="text1"/>
                <w:kern w:val="0"/>
                <w:sz w:val="20"/>
                <w:szCs w:val="20"/>
                <w:lang w:eastAsia="pt-BR"/>
              </w:rPr>
              <w:t>)</w:t>
            </w:r>
          </w:p>
        </w:tc>
        <w:tc>
          <w:tcPr>
            <w:tcW w:w="992" w:type="dxa"/>
            <w:gridSpan w:val="2"/>
            <w:shd w:val="clear" w:color="000000" w:fill="FFFFFF"/>
            <w:vAlign w:val="center"/>
            <w:hideMark/>
          </w:tcPr>
          <w:p w14:paraId="4E836E84" w14:textId="3E228644" w:rsidR="00467159" w:rsidRPr="003234C5" w:rsidRDefault="00467159" w:rsidP="00467159">
            <w:pPr>
              <w:suppressAutoHyphens w:val="0"/>
              <w:spacing w:after="0" w:line="240" w:lineRule="auto"/>
              <w:jc w:val="right"/>
              <w:rPr>
                <w:rFonts w:ascii="Arial" w:eastAsia="Times New Roman" w:hAnsi="Arial" w:cs="Arial"/>
                <w:kern w:val="0"/>
                <w:sz w:val="20"/>
                <w:szCs w:val="20"/>
                <w:lang w:eastAsia="pt-BR"/>
              </w:rPr>
            </w:pPr>
            <w:r w:rsidRPr="003234C5">
              <w:rPr>
                <w:rFonts w:ascii="Arial" w:hAnsi="Arial" w:cs="Arial"/>
                <w:sz w:val="20"/>
                <w:szCs w:val="20"/>
              </w:rPr>
              <w:t>(11.404)</w:t>
            </w:r>
          </w:p>
        </w:tc>
      </w:tr>
      <w:tr w:rsidR="004A60C8" w:rsidRPr="003234C5" w14:paraId="4F1E47AB" w14:textId="77777777" w:rsidTr="0083387F">
        <w:trPr>
          <w:trHeight w:val="255"/>
          <w:jc w:val="center"/>
        </w:trPr>
        <w:tc>
          <w:tcPr>
            <w:tcW w:w="7083" w:type="dxa"/>
            <w:shd w:val="clear" w:color="000000" w:fill="FFFFFF"/>
            <w:vAlign w:val="center"/>
          </w:tcPr>
          <w:p w14:paraId="3F75C7D2" w14:textId="2FF0F7BC" w:rsidR="004A60C8" w:rsidRPr="001E0C0E" w:rsidRDefault="001E0C0E" w:rsidP="00467159">
            <w:pPr>
              <w:suppressAutoHyphens w:val="0"/>
              <w:spacing w:after="0" w:line="240" w:lineRule="auto"/>
              <w:jc w:val="both"/>
              <w:rPr>
                <w:rFonts w:ascii="Arial" w:eastAsia="Times New Roman" w:hAnsi="Arial" w:cs="Arial"/>
                <w:kern w:val="0"/>
                <w:sz w:val="20"/>
                <w:szCs w:val="20"/>
                <w:lang w:eastAsia="pt-BR"/>
              </w:rPr>
            </w:pPr>
            <w:r w:rsidRPr="001E0C0E">
              <w:rPr>
                <w:rFonts w:ascii="Arial" w:eastAsia="Times New Roman" w:hAnsi="Arial" w:cs="Arial"/>
                <w:kern w:val="0"/>
                <w:sz w:val="20"/>
                <w:szCs w:val="20"/>
                <w:lang w:eastAsia="pt-BR"/>
              </w:rPr>
              <w:t>(-) Ajuste IFRS 16 Arrendamento Mercantil</w:t>
            </w:r>
          </w:p>
        </w:tc>
        <w:tc>
          <w:tcPr>
            <w:tcW w:w="992" w:type="dxa"/>
            <w:shd w:val="clear" w:color="000000" w:fill="FFFFFF"/>
            <w:vAlign w:val="center"/>
          </w:tcPr>
          <w:p w14:paraId="247F8ED2" w14:textId="5A3900F9" w:rsidR="004A60C8" w:rsidRPr="001E0C0E" w:rsidRDefault="001E0C0E" w:rsidP="00467159">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r w:rsidRPr="001E0C0E">
              <w:rPr>
                <w:rFonts w:ascii="Arial" w:eastAsia="Times New Roman" w:hAnsi="Arial" w:cs="Arial"/>
                <w:kern w:val="0"/>
                <w:sz w:val="20"/>
                <w:szCs w:val="20"/>
                <w:lang w:eastAsia="pt-BR"/>
              </w:rPr>
              <w:t>395</w:t>
            </w:r>
            <w:r>
              <w:rPr>
                <w:rFonts w:ascii="Arial" w:eastAsia="Times New Roman" w:hAnsi="Arial" w:cs="Arial"/>
                <w:kern w:val="0"/>
                <w:sz w:val="20"/>
                <w:szCs w:val="20"/>
                <w:lang w:eastAsia="pt-BR"/>
              </w:rPr>
              <w:t>)</w:t>
            </w:r>
          </w:p>
        </w:tc>
        <w:tc>
          <w:tcPr>
            <w:tcW w:w="992" w:type="dxa"/>
            <w:gridSpan w:val="2"/>
            <w:shd w:val="clear" w:color="000000" w:fill="FFFFFF"/>
            <w:vAlign w:val="center"/>
          </w:tcPr>
          <w:p w14:paraId="4C96C55C" w14:textId="57E724E6" w:rsidR="004A60C8" w:rsidRPr="001E0C0E" w:rsidRDefault="001E0C0E" w:rsidP="00467159">
            <w:pPr>
              <w:suppressAutoHyphens w:val="0"/>
              <w:spacing w:after="0" w:line="240" w:lineRule="auto"/>
              <w:jc w:val="right"/>
              <w:rPr>
                <w:rFonts w:ascii="Arial" w:hAnsi="Arial" w:cs="Arial"/>
                <w:color w:val="000000"/>
                <w:sz w:val="20"/>
                <w:szCs w:val="20"/>
              </w:rPr>
            </w:pPr>
            <w:r w:rsidRPr="001E0C0E">
              <w:rPr>
                <w:rFonts w:ascii="Arial" w:hAnsi="Arial" w:cs="Arial"/>
                <w:color w:val="000000"/>
                <w:sz w:val="20"/>
                <w:szCs w:val="20"/>
              </w:rPr>
              <w:t>-</w:t>
            </w:r>
          </w:p>
        </w:tc>
      </w:tr>
      <w:tr w:rsidR="00467159" w:rsidRPr="003234C5" w14:paraId="1C7F1714" w14:textId="77777777" w:rsidTr="0083387F">
        <w:trPr>
          <w:trHeight w:val="255"/>
          <w:jc w:val="center"/>
        </w:trPr>
        <w:tc>
          <w:tcPr>
            <w:tcW w:w="7083" w:type="dxa"/>
            <w:shd w:val="clear" w:color="000000" w:fill="FFFFFF"/>
            <w:vAlign w:val="center"/>
            <w:hideMark/>
          </w:tcPr>
          <w:p w14:paraId="0E084747" w14:textId="77777777" w:rsidR="00467159" w:rsidRPr="003234C5" w:rsidRDefault="00467159" w:rsidP="00467159">
            <w:pPr>
              <w:suppressAutoHyphens w:val="0"/>
              <w:spacing w:after="0" w:line="240" w:lineRule="auto"/>
              <w:jc w:val="both"/>
              <w:rPr>
                <w:rFonts w:ascii="Arial" w:eastAsia="Times New Roman" w:hAnsi="Arial" w:cs="Arial"/>
                <w:b/>
                <w:bCs/>
                <w:kern w:val="0"/>
                <w:sz w:val="20"/>
                <w:szCs w:val="20"/>
                <w:lang w:eastAsia="pt-BR"/>
              </w:rPr>
            </w:pPr>
            <w:bookmarkStart w:id="38" w:name="_Hlk506326961"/>
            <w:bookmarkEnd w:id="37"/>
            <w:r w:rsidRPr="003234C5">
              <w:rPr>
                <w:rFonts w:ascii="Arial" w:eastAsia="Times New Roman" w:hAnsi="Arial" w:cs="Arial"/>
                <w:b/>
                <w:bCs/>
                <w:kern w:val="0"/>
                <w:sz w:val="20"/>
                <w:szCs w:val="20"/>
                <w:lang w:eastAsia="pt-BR"/>
              </w:rPr>
              <w:t>(=) Dividendos propostos</w:t>
            </w:r>
          </w:p>
        </w:tc>
        <w:tc>
          <w:tcPr>
            <w:tcW w:w="992" w:type="dxa"/>
            <w:shd w:val="clear" w:color="000000" w:fill="FFFFFF"/>
            <w:vAlign w:val="center"/>
          </w:tcPr>
          <w:p w14:paraId="6EA321AB" w14:textId="74552DEB" w:rsidR="00467159" w:rsidRPr="003234C5" w:rsidRDefault="007457AB" w:rsidP="00467159">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46.374</w:t>
            </w:r>
          </w:p>
        </w:tc>
        <w:tc>
          <w:tcPr>
            <w:tcW w:w="992" w:type="dxa"/>
            <w:gridSpan w:val="2"/>
            <w:shd w:val="clear" w:color="000000" w:fill="FFFFFF"/>
            <w:vAlign w:val="center"/>
            <w:hideMark/>
          </w:tcPr>
          <w:p w14:paraId="034F83C7" w14:textId="1C844F80" w:rsidR="00467159" w:rsidRPr="003234C5" w:rsidRDefault="00467159" w:rsidP="00467159">
            <w:pPr>
              <w:suppressAutoHyphens w:val="0"/>
              <w:spacing w:after="0" w:line="240" w:lineRule="auto"/>
              <w:jc w:val="right"/>
              <w:rPr>
                <w:rFonts w:ascii="Arial" w:eastAsia="Times New Roman" w:hAnsi="Arial" w:cs="Arial"/>
                <w:b/>
                <w:bCs/>
                <w:kern w:val="0"/>
                <w:sz w:val="20"/>
                <w:szCs w:val="20"/>
                <w:lang w:eastAsia="pt-BR"/>
              </w:rPr>
            </w:pPr>
            <w:r w:rsidRPr="003234C5">
              <w:rPr>
                <w:rFonts w:ascii="Arial" w:hAnsi="Arial" w:cs="Arial"/>
                <w:b/>
                <w:bCs/>
                <w:color w:val="000000"/>
                <w:sz w:val="20"/>
                <w:szCs w:val="20"/>
              </w:rPr>
              <w:t>42.901</w:t>
            </w:r>
          </w:p>
        </w:tc>
      </w:tr>
      <w:tr w:rsidR="00467159" w:rsidRPr="003234C5" w14:paraId="427F1AEC" w14:textId="77777777" w:rsidTr="0083387F">
        <w:trPr>
          <w:trHeight w:val="255"/>
          <w:jc w:val="center"/>
        </w:trPr>
        <w:tc>
          <w:tcPr>
            <w:tcW w:w="7083" w:type="dxa"/>
            <w:shd w:val="clear" w:color="000000" w:fill="FFFFFF"/>
            <w:vAlign w:val="center"/>
            <w:hideMark/>
          </w:tcPr>
          <w:p w14:paraId="52A50D12"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bookmarkStart w:id="39" w:name="_Hlk506327914"/>
            <w:r w:rsidRPr="003234C5">
              <w:rPr>
                <w:rFonts w:ascii="Arial" w:eastAsia="Times New Roman" w:hAnsi="Arial" w:cs="Arial"/>
                <w:kern w:val="0"/>
                <w:sz w:val="20"/>
                <w:szCs w:val="20"/>
                <w:lang w:eastAsia="pt-BR"/>
              </w:rPr>
              <w:t>(-) Juros sobre capital próprio líquido (A)</w:t>
            </w:r>
          </w:p>
        </w:tc>
        <w:tc>
          <w:tcPr>
            <w:tcW w:w="992" w:type="dxa"/>
            <w:shd w:val="clear" w:color="000000" w:fill="FFFFFF"/>
            <w:vAlign w:val="center"/>
          </w:tcPr>
          <w:p w14:paraId="20F33BDD" w14:textId="015B7D4A" w:rsidR="00467159" w:rsidRPr="003234C5" w:rsidRDefault="007457AB" w:rsidP="00467159">
            <w:pPr>
              <w:suppressAutoHyphens w:val="0"/>
              <w:spacing w:after="0" w:line="240" w:lineRule="auto"/>
              <w:jc w:val="right"/>
              <w:rPr>
                <w:rFonts w:ascii="Arial" w:eastAsia="Times New Roman" w:hAnsi="Arial" w:cs="Arial"/>
                <w:bCs/>
                <w:kern w:val="0"/>
                <w:sz w:val="20"/>
                <w:szCs w:val="20"/>
                <w:lang w:eastAsia="pt-BR"/>
              </w:rPr>
            </w:pPr>
            <w:r>
              <w:rPr>
                <w:rFonts w:ascii="Arial" w:eastAsia="Times New Roman" w:hAnsi="Arial" w:cs="Arial"/>
                <w:bCs/>
                <w:kern w:val="0"/>
                <w:sz w:val="20"/>
                <w:szCs w:val="20"/>
                <w:lang w:eastAsia="pt-BR"/>
              </w:rPr>
              <w:t>(8.828)</w:t>
            </w:r>
          </w:p>
        </w:tc>
        <w:tc>
          <w:tcPr>
            <w:tcW w:w="992" w:type="dxa"/>
            <w:gridSpan w:val="2"/>
            <w:shd w:val="clear" w:color="000000" w:fill="FFFFFF"/>
            <w:vAlign w:val="center"/>
            <w:hideMark/>
          </w:tcPr>
          <w:p w14:paraId="2E4C5C56" w14:textId="36957325" w:rsidR="00467159" w:rsidRPr="003234C5" w:rsidRDefault="00467159" w:rsidP="00467159">
            <w:pPr>
              <w:suppressAutoHyphens w:val="0"/>
              <w:spacing w:after="0" w:line="240" w:lineRule="auto"/>
              <w:jc w:val="right"/>
              <w:rPr>
                <w:rFonts w:ascii="Arial" w:eastAsia="Times New Roman" w:hAnsi="Arial" w:cs="Arial"/>
                <w:bCs/>
                <w:kern w:val="0"/>
                <w:sz w:val="20"/>
                <w:szCs w:val="20"/>
                <w:lang w:eastAsia="pt-BR"/>
              </w:rPr>
            </w:pPr>
            <w:r w:rsidRPr="003234C5">
              <w:rPr>
                <w:rFonts w:ascii="Arial" w:hAnsi="Arial" w:cs="Arial"/>
                <w:sz w:val="20"/>
                <w:szCs w:val="20"/>
              </w:rPr>
              <w:t>(8.759)</w:t>
            </w:r>
          </w:p>
        </w:tc>
      </w:tr>
      <w:tr w:rsidR="00467159" w:rsidRPr="003234C5" w14:paraId="540D4B1A" w14:textId="77777777" w:rsidTr="0083387F">
        <w:trPr>
          <w:trHeight w:val="255"/>
          <w:jc w:val="center"/>
        </w:trPr>
        <w:tc>
          <w:tcPr>
            <w:tcW w:w="7083" w:type="dxa"/>
            <w:tcBorders>
              <w:bottom w:val="single" w:sz="4" w:space="0" w:color="auto"/>
            </w:tcBorders>
            <w:shd w:val="clear" w:color="000000" w:fill="FFFFFF"/>
            <w:vAlign w:val="center"/>
            <w:hideMark/>
          </w:tcPr>
          <w:p w14:paraId="213894BF"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 IRRF Sobre Juros Remuneratórios do Capital Próprio</w:t>
            </w:r>
          </w:p>
        </w:tc>
        <w:tc>
          <w:tcPr>
            <w:tcW w:w="992" w:type="dxa"/>
            <w:tcBorders>
              <w:bottom w:val="single" w:sz="4" w:space="0" w:color="auto"/>
            </w:tcBorders>
            <w:shd w:val="clear" w:color="000000" w:fill="FFFFFF"/>
            <w:vAlign w:val="center"/>
          </w:tcPr>
          <w:p w14:paraId="12AF2208" w14:textId="2E4ABC27" w:rsidR="00467159" w:rsidRPr="003234C5" w:rsidRDefault="007457AB" w:rsidP="00467159">
            <w:pPr>
              <w:suppressAutoHyphens w:val="0"/>
              <w:spacing w:after="0" w:line="240" w:lineRule="auto"/>
              <w:jc w:val="right"/>
              <w:rPr>
                <w:rFonts w:ascii="Arial" w:eastAsia="Times New Roman" w:hAnsi="Arial" w:cs="Arial"/>
                <w:bCs/>
                <w:kern w:val="0"/>
                <w:sz w:val="20"/>
                <w:szCs w:val="20"/>
                <w:lang w:eastAsia="pt-BR"/>
              </w:rPr>
            </w:pPr>
            <w:r>
              <w:rPr>
                <w:rFonts w:ascii="Arial" w:eastAsia="Times New Roman" w:hAnsi="Arial" w:cs="Arial"/>
                <w:bCs/>
                <w:kern w:val="0"/>
                <w:sz w:val="20"/>
                <w:szCs w:val="20"/>
                <w:lang w:eastAsia="pt-BR"/>
              </w:rPr>
              <w:t>(1.255)</w:t>
            </w:r>
          </w:p>
        </w:tc>
        <w:tc>
          <w:tcPr>
            <w:tcW w:w="992" w:type="dxa"/>
            <w:gridSpan w:val="2"/>
            <w:tcBorders>
              <w:bottom w:val="single" w:sz="4" w:space="0" w:color="auto"/>
            </w:tcBorders>
            <w:shd w:val="clear" w:color="000000" w:fill="FFFFFF"/>
            <w:vAlign w:val="center"/>
            <w:hideMark/>
          </w:tcPr>
          <w:p w14:paraId="63B93AB0" w14:textId="29A0DC3A" w:rsidR="00467159" w:rsidRPr="003234C5" w:rsidRDefault="00467159" w:rsidP="00467159">
            <w:pPr>
              <w:suppressAutoHyphens w:val="0"/>
              <w:spacing w:after="0" w:line="240" w:lineRule="auto"/>
              <w:jc w:val="right"/>
              <w:rPr>
                <w:rFonts w:ascii="Arial" w:eastAsia="Times New Roman" w:hAnsi="Arial" w:cs="Arial"/>
                <w:bCs/>
                <w:kern w:val="0"/>
                <w:sz w:val="20"/>
                <w:szCs w:val="20"/>
                <w:lang w:eastAsia="pt-BR"/>
              </w:rPr>
            </w:pPr>
            <w:r w:rsidRPr="003234C5">
              <w:rPr>
                <w:rFonts w:ascii="Arial" w:hAnsi="Arial" w:cs="Arial"/>
                <w:sz w:val="20"/>
                <w:szCs w:val="20"/>
              </w:rPr>
              <w:t>(1.245)</w:t>
            </w:r>
          </w:p>
        </w:tc>
      </w:tr>
      <w:bookmarkEnd w:id="38"/>
      <w:bookmarkEnd w:id="39"/>
      <w:tr w:rsidR="00467159" w:rsidRPr="003234C5" w14:paraId="6164AAD7" w14:textId="77777777" w:rsidTr="0083387F">
        <w:trPr>
          <w:trHeight w:val="255"/>
          <w:jc w:val="center"/>
        </w:trPr>
        <w:tc>
          <w:tcPr>
            <w:tcW w:w="7083" w:type="dxa"/>
            <w:tcBorders>
              <w:bottom w:val="single" w:sz="4" w:space="0" w:color="auto"/>
            </w:tcBorders>
            <w:shd w:val="clear" w:color="000000" w:fill="BFBFBF"/>
            <w:vAlign w:val="center"/>
            <w:hideMark/>
          </w:tcPr>
          <w:p w14:paraId="1D070422" w14:textId="77777777" w:rsidR="00467159" w:rsidRPr="003234C5" w:rsidRDefault="00467159" w:rsidP="00467159">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 Total dos Dividendos a pagar (B)</w:t>
            </w:r>
          </w:p>
        </w:tc>
        <w:tc>
          <w:tcPr>
            <w:tcW w:w="992" w:type="dxa"/>
            <w:tcBorders>
              <w:bottom w:val="single" w:sz="4" w:space="0" w:color="auto"/>
            </w:tcBorders>
            <w:shd w:val="clear" w:color="000000" w:fill="BFBFBF"/>
            <w:vAlign w:val="center"/>
          </w:tcPr>
          <w:p w14:paraId="31363E1B" w14:textId="657D8BDE" w:rsidR="00467159" w:rsidRPr="003234C5" w:rsidRDefault="00F73D01" w:rsidP="00467159">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36.291</w:t>
            </w:r>
          </w:p>
        </w:tc>
        <w:tc>
          <w:tcPr>
            <w:tcW w:w="992" w:type="dxa"/>
            <w:gridSpan w:val="2"/>
            <w:tcBorders>
              <w:bottom w:val="single" w:sz="4" w:space="0" w:color="auto"/>
            </w:tcBorders>
            <w:shd w:val="clear" w:color="000000" w:fill="BFBFBF"/>
            <w:vAlign w:val="center"/>
            <w:hideMark/>
          </w:tcPr>
          <w:p w14:paraId="08F95CAA" w14:textId="3826B21D" w:rsidR="00467159" w:rsidRPr="003234C5" w:rsidRDefault="00467159" w:rsidP="00467159">
            <w:pPr>
              <w:suppressAutoHyphens w:val="0"/>
              <w:spacing w:after="0" w:line="240" w:lineRule="auto"/>
              <w:jc w:val="right"/>
              <w:rPr>
                <w:rFonts w:ascii="Arial" w:eastAsia="Times New Roman" w:hAnsi="Arial" w:cs="Arial"/>
                <w:b/>
                <w:bCs/>
                <w:kern w:val="0"/>
                <w:sz w:val="20"/>
                <w:szCs w:val="20"/>
                <w:lang w:eastAsia="pt-BR"/>
              </w:rPr>
            </w:pPr>
            <w:r w:rsidRPr="003234C5">
              <w:rPr>
                <w:rFonts w:ascii="Arial" w:hAnsi="Arial" w:cs="Arial"/>
                <w:b/>
                <w:bCs/>
                <w:color w:val="000000"/>
                <w:sz w:val="20"/>
                <w:szCs w:val="20"/>
              </w:rPr>
              <w:t>32.897</w:t>
            </w:r>
          </w:p>
        </w:tc>
      </w:tr>
      <w:tr w:rsidR="000643C6" w:rsidRPr="003234C5" w14:paraId="18424066" w14:textId="77777777" w:rsidTr="0083387F">
        <w:trPr>
          <w:trHeight w:val="255"/>
          <w:jc w:val="center"/>
        </w:trPr>
        <w:tc>
          <w:tcPr>
            <w:tcW w:w="7083" w:type="dxa"/>
            <w:tcBorders>
              <w:top w:val="single" w:sz="4" w:space="0" w:color="auto"/>
              <w:left w:val="nil"/>
              <w:bottom w:val="nil"/>
              <w:right w:val="nil"/>
            </w:tcBorders>
            <w:shd w:val="clear" w:color="000000" w:fill="auto"/>
            <w:vAlign w:val="center"/>
          </w:tcPr>
          <w:p w14:paraId="6DFAE613" w14:textId="77777777" w:rsidR="000643C6" w:rsidRPr="003234C5" w:rsidRDefault="000643C6" w:rsidP="00DE5CEC">
            <w:pPr>
              <w:suppressAutoHyphens w:val="0"/>
              <w:spacing w:after="0" w:line="240" w:lineRule="auto"/>
              <w:jc w:val="both"/>
              <w:rPr>
                <w:rFonts w:ascii="Arial" w:eastAsia="Times New Roman" w:hAnsi="Arial" w:cs="Arial"/>
                <w:b/>
                <w:bCs/>
                <w:kern w:val="0"/>
                <w:sz w:val="20"/>
                <w:szCs w:val="20"/>
                <w:lang w:eastAsia="pt-BR"/>
              </w:rPr>
            </w:pPr>
          </w:p>
        </w:tc>
        <w:tc>
          <w:tcPr>
            <w:tcW w:w="992" w:type="dxa"/>
            <w:tcBorders>
              <w:top w:val="single" w:sz="4" w:space="0" w:color="auto"/>
              <w:left w:val="nil"/>
              <w:bottom w:val="nil"/>
              <w:right w:val="nil"/>
            </w:tcBorders>
            <w:shd w:val="clear" w:color="000000" w:fill="auto"/>
            <w:vAlign w:val="center"/>
          </w:tcPr>
          <w:p w14:paraId="4D595D4A" w14:textId="77777777" w:rsidR="000643C6" w:rsidRPr="003234C5" w:rsidRDefault="000643C6" w:rsidP="00DE5CEC">
            <w:pPr>
              <w:suppressAutoHyphens w:val="0"/>
              <w:spacing w:after="0" w:line="240" w:lineRule="auto"/>
              <w:jc w:val="right"/>
              <w:rPr>
                <w:rFonts w:ascii="Arial" w:hAnsi="Arial" w:cs="Arial"/>
                <w:b/>
                <w:bCs/>
                <w:color w:val="000000"/>
                <w:sz w:val="20"/>
                <w:szCs w:val="20"/>
              </w:rPr>
            </w:pPr>
          </w:p>
        </w:tc>
        <w:tc>
          <w:tcPr>
            <w:tcW w:w="992" w:type="dxa"/>
            <w:gridSpan w:val="2"/>
            <w:tcBorders>
              <w:top w:val="single" w:sz="4" w:space="0" w:color="auto"/>
              <w:left w:val="nil"/>
              <w:bottom w:val="nil"/>
              <w:right w:val="nil"/>
            </w:tcBorders>
            <w:shd w:val="clear" w:color="000000" w:fill="auto"/>
            <w:vAlign w:val="center"/>
          </w:tcPr>
          <w:p w14:paraId="785CB96B" w14:textId="77777777" w:rsidR="000643C6" w:rsidRPr="003234C5" w:rsidRDefault="000643C6" w:rsidP="00DE5CEC">
            <w:pPr>
              <w:suppressAutoHyphens w:val="0"/>
              <w:spacing w:after="0" w:line="240" w:lineRule="auto"/>
              <w:jc w:val="right"/>
              <w:rPr>
                <w:rFonts w:ascii="Arial" w:eastAsia="Times New Roman" w:hAnsi="Arial" w:cs="Arial"/>
                <w:b/>
                <w:bCs/>
                <w:kern w:val="0"/>
                <w:sz w:val="20"/>
                <w:szCs w:val="20"/>
                <w:lang w:eastAsia="pt-BR"/>
              </w:rPr>
            </w:pPr>
          </w:p>
        </w:tc>
      </w:tr>
      <w:tr w:rsidR="00467159" w:rsidRPr="003234C5" w14:paraId="7D55560D"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40AD4CB7" w14:textId="77777777" w:rsidR="00467159" w:rsidRPr="003234C5" w:rsidRDefault="00467159" w:rsidP="00467159">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DIVIDENDO MÍNIMO EXIGIDO ESTATUTO SOCIAL</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5364E325" w14:textId="459B7401" w:rsidR="00467159" w:rsidRPr="003234C5" w:rsidRDefault="00C6257E" w:rsidP="00467159">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2019</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606AD409" w14:textId="2260D472" w:rsidR="00467159" w:rsidRPr="003234C5" w:rsidRDefault="00C6257E" w:rsidP="00467159">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2018</w:t>
            </w:r>
          </w:p>
        </w:tc>
      </w:tr>
      <w:tr w:rsidR="00467159" w:rsidRPr="003234C5" w14:paraId="6D546DD7"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1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4DD3296E"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Capital Social de Ações Preferenciais</w:t>
            </w:r>
          </w:p>
        </w:tc>
        <w:tc>
          <w:tcPr>
            <w:tcW w:w="992" w:type="dxa"/>
            <w:tcBorders>
              <w:top w:val="nil"/>
              <w:left w:val="nil"/>
              <w:bottom w:val="single" w:sz="4" w:space="0" w:color="auto"/>
              <w:right w:val="single" w:sz="4" w:space="0" w:color="auto"/>
            </w:tcBorders>
            <w:shd w:val="clear" w:color="000000" w:fill="FFFFFF"/>
            <w:vAlign w:val="center"/>
          </w:tcPr>
          <w:p w14:paraId="38E952C7" w14:textId="290F2E76" w:rsidR="00467159" w:rsidRPr="003234C5" w:rsidRDefault="00525089" w:rsidP="00467159">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91.209</w:t>
            </w:r>
          </w:p>
        </w:tc>
        <w:tc>
          <w:tcPr>
            <w:tcW w:w="986" w:type="dxa"/>
            <w:tcBorders>
              <w:top w:val="nil"/>
              <w:left w:val="nil"/>
              <w:bottom w:val="single" w:sz="4" w:space="0" w:color="auto"/>
              <w:right w:val="single" w:sz="4" w:space="0" w:color="auto"/>
            </w:tcBorders>
            <w:shd w:val="clear" w:color="000000" w:fill="FFFFFF"/>
            <w:vAlign w:val="center"/>
            <w:hideMark/>
          </w:tcPr>
          <w:p w14:paraId="6A1972C2" w14:textId="64F77B18" w:rsidR="00467159" w:rsidRPr="003234C5" w:rsidRDefault="00467159" w:rsidP="00467159">
            <w:pPr>
              <w:suppressAutoHyphens w:val="0"/>
              <w:spacing w:after="0" w:line="240" w:lineRule="auto"/>
              <w:jc w:val="right"/>
              <w:rPr>
                <w:rFonts w:ascii="Arial" w:eastAsia="Times New Roman" w:hAnsi="Arial" w:cs="Arial"/>
                <w:kern w:val="0"/>
                <w:sz w:val="20"/>
                <w:szCs w:val="20"/>
                <w:lang w:eastAsia="pt-BR"/>
              </w:rPr>
            </w:pPr>
            <w:r w:rsidRPr="003234C5">
              <w:rPr>
                <w:rFonts w:ascii="Arial" w:hAnsi="Arial" w:cs="Arial"/>
                <w:color w:val="000000"/>
                <w:sz w:val="20"/>
                <w:szCs w:val="20"/>
              </w:rPr>
              <w:t>83.753</w:t>
            </w:r>
          </w:p>
        </w:tc>
      </w:tr>
      <w:tr w:rsidR="00467159" w:rsidRPr="003234C5" w14:paraId="7CD187B0"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1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5B06CA7D" w14:textId="77777777" w:rsidR="00467159" w:rsidRPr="003234C5" w:rsidRDefault="00467159" w:rsidP="00467159">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Dividendo Mínimo Obrigatório Ações Preferenciais (6%) (C)</w:t>
            </w:r>
          </w:p>
        </w:tc>
        <w:tc>
          <w:tcPr>
            <w:tcW w:w="992" w:type="dxa"/>
            <w:tcBorders>
              <w:top w:val="nil"/>
              <w:left w:val="nil"/>
              <w:bottom w:val="single" w:sz="4" w:space="0" w:color="auto"/>
              <w:right w:val="single" w:sz="4" w:space="0" w:color="auto"/>
            </w:tcBorders>
            <w:shd w:val="clear" w:color="000000" w:fill="FFFFFF"/>
            <w:vAlign w:val="center"/>
          </w:tcPr>
          <w:p w14:paraId="2E930124" w14:textId="18115EE7" w:rsidR="00467159" w:rsidRPr="003234C5" w:rsidRDefault="0082251B" w:rsidP="00467159">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5.47</w:t>
            </w:r>
            <w:r w:rsidR="00667750">
              <w:rPr>
                <w:rFonts w:ascii="Arial" w:eastAsia="Times New Roman" w:hAnsi="Arial" w:cs="Arial"/>
                <w:b/>
                <w:bCs/>
                <w:kern w:val="0"/>
                <w:sz w:val="20"/>
                <w:szCs w:val="20"/>
                <w:lang w:eastAsia="pt-BR"/>
              </w:rPr>
              <w:t>3</w:t>
            </w:r>
          </w:p>
        </w:tc>
        <w:tc>
          <w:tcPr>
            <w:tcW w:w="986" w:type="dxa"/>
            <w:tcBorders>
              <w:top w:val="nil"/>
              <w:left w:val="nil"/>
              <w:bottom w:val="single" w:sz="4" w:space="0" w:color="auto"/>
              <w:right w:val="single" w:sz="4" w:space="0" w:color="auto"/>
            </w:tcBorders>
            <w:shd w:val="clear" w:color="000000" w:fill="FFFFFF"/>
            <w:vAlign w:val="center"/>
            <w:hideMark/>
          </w:tcPr>
          <w:p w14:paraId="589F92DA" w14:textId="247C21B9" w:rsidR="00467159" w:rsidRPr="003234C5" w:rsidRDefault="00467159" w:rsidP="00467159">
            <w:pPr>
              <w:suppressAutoHyphens w:val="0"/>
              <w:spacing w:after="0" w:line="240" w:lineRule="auto"/>
              <w:jc w:val="right"/>
              <w:rPr>
                <w:rFonts w:ascii="Arial" w:eastAsia="Times New Roman" w:hAnsi="Arial" w:cs="Arial"/>
                <w:b/>
                <w:bCs/>
                <w:kern w:val="0"/>
                <w:sz w:val="20"/>
                <w:szCs w:val="20"/>
                <w:lang w:eastAsia="pt-BR"/>
              </w:rPr>
            </w:pPr>
            <w:r w:rsidRPr="003234C5">
              <w:rPr>
                <w:rFonts w:ascii="Arial" w:hAnsi="Arial" w:cs="Arial"/>
                <w:b/>
                <w:bCs/>
                <w:color w:val="000000"/>
                <w:sz w:val="20"/>
                <w:szCs w:val="20"/>
              </w:rPr>
              <w:t>5.025</w:t>
            </w:r>
          </w:p>
        </w:tc>
      </w:tr>
      <w:tr w:rsidR="00467159" w:rsidRPr="003234C5" w14:paraId="3C16590C"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A605F82" w14:textId="77777777" w:rsidR="00467159" w:rsidRPr="003234C5" w:rsidRDefault="00467159" w:rsidP="00467159">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CÁLCULO DIVIDENDO OBRIGATÓRIO LEI 6.404/76</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7E3CC0FC" w14:textId="563A5CA5" w:rsidR="00467159" w:rsidRPr="003234C5" w:rsidRDefault="00C6257E" w:rsidP="00467159">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2019</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7BC47DAD" w14:textId="09B09C2E" w:rsidR="00467159" w:rsidRPr="003234C5" w:rsidRDefault="00C6257E" w:rsidP="00467159">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2018</w:t>
            </w:r>
          </w:p>
        </w:tc>
      </w:tr>
      <w:tr w:rsidR="00467159" w:rsidRPr="003234C5" w14:paraId="37BDC146"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4062FD4C" w14:textId="77777777" w:rsidR="00467159" w:rsidRPr="003234C5" w:rsidRDefault="00467159" w:rsidP="00467159">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 Base de cálculo dos dividendos propostos</w:t>
            </w:r>
          </w:p>
        </w:tc>
        <w:tc>
          <w:tcPr>
            <w:tcW w:w="992" w:type="dxa"/>
            <w:tcBorders>
              <w:top w:val="nil"/>
              <w:left w:val="nil"/>
              <w:bottom w:val="single" w:sz="4" w:space="0" w:color="auto"/>
              <w:right w:val="single" w:sz="4" w:space="0" w:color="auto"/>
            </w:tcBorders>
            <w:shd w:val="clear" w:color="000000" w:fill="FFFFFF"/>
            <w:vAlign w:val="center"/>
          </w:tcPr>
          <w:p w14:paraId="309C2194" w14:textId="47CE9DAD" w:rsidR="00467159" w:rsidRPr="003234C5" w:rsidRDefault="0082251B" w:rsidP="00467159">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46.374</w:t>
            </w:r>
          </w:p>
        </w:tc>
        <w:tc>
          <w:tcPr>
            <w:tcW w:w="986" w:type="dxa"/>
            <w:tcBorders>
              <w:top w:val="nil"/>
              <w:left w:val="nil"/>
              <w:bottom w:val="single" w:sz="4" w:space="0" w:color="auto"/>
              <w:right w:val="single" w:sz="4" w:space="0" w:color="auto"/>
            </w:tcBorders>
            <w:shd w:val="clear" w:color="000000" w:fill="FFFFFF"/>
            <w:vAlign w:val="center"/>
            <w:hideMark/>
          </w:tcPr>
          <w:p w14:paraId="70C103DA" w14:textId="755CA1E7" w:rsidR="00467159" w:rsidRPr="003234C5" w:rsidRDefault="00467159" w:rsidP="00467159">
            <w:pPr>
              <w:suppressAutoHyphens w:val="0"/>
              <w:spacing w:after="0" w:line="240" w:lineRule="auto"/>
              <w:jc w:val="right"/>
              <w:rPr>
                <w:rFonts w:ascii="Arial" w:eastAsia="Times New Roman" w:hAnsi="Arial" w:cs="Arial"/>
                <w:b/>
                <w:bCs/>
                <w:kern w:val="0"/>
                <w:sz w:val="20"/>
                <w:szCs w:val="20"/>
                <w:lang w:eastAsia="pt-BR"/>
              </w:rPr>
            </w:pPr>
            <w:r w:rsidRPr="003234C5">
              <w:rPr>
                <w:rFonts w:ascii="Arial" w:hAnsi="Arial" w:cs="Arial"/>
                <w:b/>
                <w:bCs/>
                <w:color w:val="000000"/>
                <w:sz w:val="20"/>
                <w:szCs w:val="20"/>
              </w:rPr>
              <w:t>42.901</w:t>
            </w:r>
          </w:p>
        </w:tc>
      </w:tr>
      <w:tr w:rsidR="00467159" w:rsidRPr="003234C5" w14:paraId="27CA6F70"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05AC76AC" w14:textId="77777777" w:rsidR="00467159" w:rsidRPr="003234C5" w:rsidRDefault="00467159" w:rsidP="00467159">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Dividendo Obrigatório (25%) (D)</w:t>
            </w:r>
          </w:p>
        </w:tc>
        <w:tc>
          <w:tcPr>
            <w:tcW w:w="992" w:type="dxa"/>
            <w:tcBorders>
              <w:top w:val="nil"/>
              <w:left w:val="nil"/>
              <w:bottom w:val="single" w:sz="4" w:space="0" w:color="auto"/>
              <w:right w:val="single" w:sz="4" w:space="0" w:color="auto"/>
            </w:tcBorders>
            <w:shd w:val="clear" w:color="000000" w:fill="FFFFFF"/>
            <w:vAlign w:val="center"/>
          </w:tcPr>
          <w:p w14:paraId="4451489A" w14:textId="02E31174" w:rsidR="00467159" w:rsidRPr="003234C5" w:rsidRDefault="0082251B" w:rsidP="00467159">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11.59</w:t>
            </w:r>
            <w:r w:rsidR="00ED6768">
              <w:rPr>
                <w:rFonts w:ascii="Arial" w:eastAsia="Times New Roman" w:hAnsi="Arial" w:cs="Arial"/>
                <w:b/>
                <w:bCs/>
                <w:kern w:val="0"/>
                <w:sz w:val="20"/>
                <w:szCs w:val="20"/>
                <w:lang w:eastAsia="pt-BR"/>
              </w:rPr>
              <w:t>4</w:t>
            </w:r>
          </w:p>
        </w:tc>
        <w:tc>
          <w:tcPr>
            <w:tcW w:w="986" w:type="dxa"/>
            <w:tcBorders>
              <w:top w:val="nil"/>
              <w:left w:val="nil"/>
              <w:bottom w:val="single" w:sz="4" w:space="0" w:color="auto"/>
              <w:right w:val="single" w:sz="4" w:space="0" w:color="auto"/>
            </w:tcBorders>
            <w:shd w:val="clear" w:color="000000" w:fill="FFFFFF"/>
            <w:vAlign w:val="center"/>
            <w:hideMark/>
          </w:tcPr>
          <w:p w14:paraId="7D5B048C" w14:textId="311F0BFA" w:rsidR="00467159" w:rsidRPr="003234C5" w:rsidRDefault="00467159" w:rsidP="00467159">
            <w:pPr>
              <w:suppressAutoHyphens w:val="0"/>
              <w:spacing w:after="0" w:line="240" w:lineRule="auto"/>
              <w:jc w:val="right"/>
              <w:rPr>
                <w:rFonts w:ascii="Arial" w:eastAsia="Times New Roman" w:hAnsi="Arial" w:cs="Arial"/>
                <w:b/>
                <w:bCs/>
                <w:kern w:val="0"/>
                <w:sz w:val="20"/>
                <w:szCs w:val="20"/>
                <w:lang w:eastAsia="pt-BR"/>
              </w:rPr>
            </w:pPr>
            <w:r w:rsidRPr="003234C5">
              <w:rPr>
                <w:rFonts w:ascii="Arial" w:hAnsi="Arial" w:cs="Arial"/>
                <w:b/>
                <w:bCs/>
                <w:color w:val="000000"/>
                <w:sz w:val="20"/>
                <w:szCs w:val="20"/>
              </w:rPr>
              <w:t>10.726</w:t>
            </w:r>
          </w:p>
        </w:tc>
      </w:tr>
      <w:tr w:rsidR="00467159" w:rsidRPr="003234C5" w14:paraId="1A6C9F9C"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1C21E9D7"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 Juros sobre capital próprio líquido (A)</w:t>
            </w:r>
          </w:p>
        </w:tc>
        <w:tc>
          <w:tcPr>
            <w:tcW w:w="992" w:type="dxa"/>
            <w:tcBorders>
              <w:top w:val="nil"/>
              <w:left w:val="nil"/>
              <w:bottom w:val="single" w:sz="4" w:space="0" w:color="auto"/>
              <w:right w:val="single" w:sz="4" w:space="0" w:color="auto"/>
            </w:tcBorders>
            <w:shd w:val="clear" w:color="000000" w:fill="FFFFFF"/>
            <w:vAlign w:val="center"/>
          </w:tcPr>
          <w:p w14:paraId="5C14A1E3" w14:textId="60EF4E8C" w:rsidR="00467159" w:rsidRPr="003234C5" w:rsidRDefault="0082251B" w:rsidP="00467159">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(8.82</w:t>
            </w:r>
            <w:r w:rsidR="004E48C9">
              <w:rPr>
                <w:rFonts w:ascii="Arial" w:eastAsia="Times New Roman" w:hAnsi="Arial" w:cs="Arial"/>
                <w:kern w:val="0"/>
                <w:sz w:val="20"/>
                <w:szCs w:val="20"/>
                <w:lang w:eastAsia="pt-BR"/>
              </w:rPr>
              <w:t>8</w:t>
            </w:r>
            <w:r>
              <w:rPr>
                <w:rFonts w:ascii="Arial" w:eastAsia="Times New Roman" w:hAnsi="Arial" w:cs="Arial"/>
                <w:kern w:val="0"/>
                <w:sz w:val="20"/>
                <w:szCs w:val="20"/>
                <w:lang w:eastAsia="pt-BR"/>
              </w:rPr>
              <w:t>)</w:t>
            </w:r>
          </w:p>
        </w:tc>
        <w:tc>
          <w:tcPr>
            <w:tcW w:w="986" w:type="dxa"/>
            <w:tcBorders>
              <w:top w:val="nil"/>
              <w:left w:val="nil"/>
              <w:bottom w:val="single" w:sz="4" w:space="0" w:color="auto"/>
              <w:right w:val="single" w:sz="4" w:space="0" w:color="auto"/>
            </w:tcBorders>
            <w:shd w:val="clear" w:color="000000" w:fill="FFFFFF"/>
            <w:vAlign w:val="center"/>
            <w:hideMark/>
          </w:tcPr>
          <w:p w14:paraId="1E9377EE" w14:textId="24CEE373" w:rsidR="00467159" w:rsidRPr="003234C5" w:rsidRDefault="00467159" w:rsidP="00467159">
            <w:pPr>
              <w:suppressAutoHyphens w:val="0"/>
              <w:spacing w:after="0" w:line="240" w:lineRule="auto"/>
              <w:jc w:val="right"/>
              <w:rPr>
                <w:rFonts w:ascii="Arial" w:eastAsia="Times New Roman" w:hAnsi="Arial" w:cs="Arial"/>
                <w:kern w:val="0"/>
                <w:sz w:val="20"/>
                <w:szCs w:val="20"/>
                <w:lang w:eastAsia="pt-BR"/>
              </w:rPr>
            </w:pPr>
            <w:r w:rsidRPr="003234C5">
              <w:rPr>
                <w:rFonts w:ascii="Arial" w:hAnsi="Arial" w:cs="Arial"/>
                <w:sz w:val="20"/>
                <w:szCs w:val="20"/>
              </w:rPr>
              <w:t>(8.759)</w:t>
            </w:r>
          </w:p>
        </w:tc>
      </w:tr>
      <w:tr w:rsidR="00467159" w:rsidRPr="003234C5" w14:paraId="48709A7A"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5433D559" w14:textId="77777777" w:rsidR="00467159" w:rsidRPr="003234C5" w:rsidRDefault="00467159" w:rsidP="00467159">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Dividendo mínimo (D - A)</w:t>
            </w:r>
          </w:p>
        </w:tc>
        <w:tc>
          <w:tcPr>
            <w:tcW w:w="992" w:type="dxa"/>
            <w:tcBorders>
              <w:top w:val="nil"/>
              <w:left w:val="nil"/>
              <w:bottom w:val="single" w:sz="4" w:space="0" w:color="auto"/>
              <w:right w:val="single" w:sz="4" w:space="0" w:color="auto"/>
            </w:tcBorders>
            <w:shd w:val="clear" w:color="000000" w:fill="FFFFFF"/>
            <w:vAlign w:val="center"/>
          </w:tcPr>
          <w:p w14:paraId="638CA194" w14:textId="26DD455F" w:rsidR="00467159" w:rsidRPr="003234C5" w:rsidRDefault="001D07A0" w:rsidP="00467159">
            <w:pPr>
              <w:suppressAutoHyphens w:val="0"/>
              <w:spacing w:after="0" w:line="240" w:lineRule="auto"/>
              <w:jc w:val="right"/>
              <w:rPr>
                <w:rFonts w:ascii="Arial" w:eastAsia="Times New Roman" w:hAnsi="Arial" w:cs="Arial"/>
                <w:b/>
                <w:bCs/>
                <w:kern w:val="0"/>
                <w:sz w:val="20"/>
                <w:szCs w:val="20"/>
                <w:u w:val="single"/>
                <w:lang w:eastAsia="pt-BR"/>
              </w:rPr>
            </w:pPr>
            <w:r>
              <w:rPr>
                <w:rFonts w:ascii="Arial" w:eastAsia="Times New Roman" w:hAnsi="Arial" w:cs="Arial"/>
                <w:b/>
                <w:bCs/>
                <w:kern w:val="0"/>
                <w:sz w:val="20"/>
                <w:szCs w:val="20"/>
                <w:u w:val="single"/>
                <w:lang w:eastAsia="pt-BR"/>
              </w:rPr>
              <w:t>2.76</w:t>
            </w:r>
            <w:r w:rsidR="00184CC4">
              <w:rPr>
                <w:rFonts w:ascii="Arial" w:eastAsia="Times New Roman" w:hAnsi="Arial" w:cs="Arial"/>
                <w:b/>
                <w:bCs/>
                <w:kern w:val="0"/>
                <w:sz w:val="20"/>
                <w:szCs w:val="20"/>
                <w:u w:val="single"/>
                <w:lang w:eastAsia="pt-BR"/>
              </w:rPr>
              <w:t>6</w:t>
            </w:r>
          </w:p>
        </w:tc>
        <w:tc>
          <w:tcPr>
            <w:tcW w:w="986" w:type="dxa"/>
            <w:tcBorders>
              <w:top w:val="nil"/>
              <w:left w:val="nil"/>
              <w:bottom w:val="single" w:sz="4" w:space="0" w:color="auto"/>
              <w:right w:val="single" w:sz="4" w:space="0" w:color="auto"/>
            </w:tcBorders>
            <w:shd w:val="clear" w:color="000000" w:fill="FFFFFF"/>
            <w:vAlign w:val="center"/>
            <w:hideMark/>
          </w:tcPr>
          <w:p w14:paraId="251F9A56" w14:textId="6A01400E" w:rsidR="00467159" w:rsidRPr="003234C5" w:rsidRDefault="00467159" w:rsidP="00467159">
            <w:pPr>
              <w:suppressAutoHyphens w:val="0"/>
              <w:spacing w:after="0" w:line="240" w:lineRule="auto"/>
              <w:jc w:val="right"/>
              <w:rPr>
                <w:rFonts w:ascii="Arial" w:eastAsia="Times New Roman" w:hAnsi="Arial" w:cs="Arial"/>
                <w:b/>
                <w:bCs/>
                <w:kern w:val="0"/>
                <w:sz w:val="20"/>
                <w:szCs w:val="20"/>
                <w:u w:val="single"/>
                <w:lang w:eastAsia="pt-BR"/>
              </w:rPr>
            </w:pPr>
            <w:r w:rsidRPr="003234C5">
              <w:rPr>
                <w:rFonts w:ascii="Arial" w:hAnsi="Arial" w:cs="Arial"/>
                <w:b/>
                <w:bCs/>
                <w:color w:val="000000"/>
                <w:sz w:val="20"/>
                <w:szCs w:val="20"/>
                <w:u w:val="single"/>
              </w:rPr>
              <w:t>1.967</w:t>
            </w:r>
          </w:p>
        </w:tc>
      </w:tr>
      <w:tr w:rsidR="00467159" w:rsidRPr="003234C5" w14:paraId="611D5771"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22E30DDE"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 xml:space="preserve">   Dividendos mínimos Ações Preferenciais (E)</w:t>
            </w:r>
          </w:p>
        </w:tc>
        <w:tc>
          <w:tcPr>
            <w:tcW w:w="992" w:type="dxa"/>
            <w:tcBorders>
              <w:top w:val="nil"/>
              <w:left w:val="nil"/>
              <w:bottom w:val="single" w:sz="4" w:space="0" w:color="auto"/>
              <w:right w:val="single" w:sz="4" w:space="0" w:color="auto"/>
            </w:tcBorders>
            <w:shd w:val="clear" w:color="000000" w:fill="FFFFFF"/>
            <w:vAlign w:val="center"/>
          </w:tcPr>
          <w:p w14:paraId="7B97C56D" w14:textId="01675BD4" w:rsidR="00467159" w:rsidRPr="003234C5" w:rsidRDefault="001D07A0" w:rsidP="00467159">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1.84</w:t>
            </w:r>
            <w:r w:rsidR="000735AE">
              <w:rPr>
                <w:rFonts w:ascii="Arial" w:eastAsia="Times New Roman" w:hAnsi="Arial" w:cs="Arial"/>
                <w:kern w:val="0"/>
                <w:sz w:val="20"/>
                <w:szCs w:val="20"/>
                <w:lang w:eastAsia="pt-BR"/>
              </w:rPr>
              <w:t>4</w:t>
            </w:r>
          </w:p>
        </w:tc>
        <w:tc>
          <w:tcPr>
            <w:tcW w:w="986" w:type="dxa"/>
            <w:tcBorders>
              <w:top w:val="nil"/>
              <w:left w:val="nil"/>
              <w:bottom w:val="single" w:sz="4" w:space="0" w:color="auto"/>
              <w:right w:val="single" w:sz="4" w:space="0" w:color="auto"/>
            </w:tcBorders>
            <w:shd w:val="clear" w:color="000000" w:fill="FFFFFF"/>
            <w:vAlign w:val="center"/>
            <w:hideMark/>
          </w:tcPr>
          <w:p w14:paraId="087DE741" w14:textId="12DBD0B3" w:rsidR="00467159" w:rsidRPr="003234C5" w:rsidRDefault="00467159" w:rsidP="00467159">
            <w:pPr>
              <w:suppressAutoHyphens w:val="0"/>
              <w:spacing w:after="0" w:line="240" w:lineRule="auto"/>
              <w:jc w:val="right"/>
              <w:rPr>
                <w:rFonts w:ascii="Arial" w:eastAsia="Times New Roman" w:hAnsi="Arial" w:cs="Arial"/>
                <w:kern w:val="0"/>
                <w:sz w:val="20"/>
                <w:szCs w:val="20"/>
                <w:lang w:eastAsia="pt-BR"/>
              </w:rPr>
            </w:pPr>
            <w:r w:rsidRPr="003234C5">
              <w:rPr>
                <w:rFonts w:ascii="Arial" w:hAnsi="Arial" w:cs="Arial"/>
                <w:color w:val="000000"/>
                <w:sz w:val="20"/>
                <w:szCs w:val="20"/>
              </w:rPr>
              <w:t>1.311</w:t>
            </w:r>
          </w:p>
        </w:tc>
      </w:tr>
      <w:tr w:rsidR="00467159" w:rsidRPr="003234C5" w14:paraId="54C59599"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3DB0780C"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 xml:space="preserve">   Dividendos mínimos Ações Ordinárias (F)</w:t>
            </w:r>
          </w:p>
        </w:tc>
        <w:tc>
          <w:tcPr>
            <w:tcW w:w="992" w:type="dxa"/>
            <w:tcBorders>
              <w:top w:val="nil"/>
              <w:left w:val="nil"/>
              <w:bottom w:val="single" w:sz="4" w:space="0" w:color="auto"/>
              <w:right w:val="single" w:sz="4" w:space="0" w:color="auto"/>
            </w:tcBorders>
            <w:shd w:val="clear" w:color="000000" w:fill="FFFFFF"/>
            <w:vAlign w:val="center"/>
          </w:tcPr>
          <w:p w14:paraId="35FA30B6" w14:textId="1270590E" w:rsidR="00467159" w:rsidRPr="003234C5" w:rsidRDefault="001D07A0" w:rsidP="00467159">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92</w:t>
            </w:r>
            <w:r w:rsidR="002450A5">
              <w:rPr>
                <w:rFonts w:ascii="Arial" w:eastAsia="Times New Roman" w:hAnsi="Arial" w:cs="Arial"/>
                <w:kern w:val="0"/>
                <w:sz w:val="20"/>
                <w:szCs w:val="20"/>
                <w:lang w:eastAsia="pt-BR"/>
              </w:rPr>
              <w:t>2</w:t>
            </w:r>
          </w:p>
        </w:tc>
        <w:tc>
          <w:tcPr>
            <w:tcW w:w="986" w:type="dxa"/>
            <w:tcBorders>
              <w:top w:val="nil"/>
              <w:left w:val="nil"/>
              <w:bottom w:val="single" w:sz="4" w:space="0" w:color="auto"/>
              <w:right w:val="single" w:sz="4" w:space="0" w:color="auto"/>
            </w:tcBorders>
            <w:shd w:val="clear" w:color="000000" w:fill="FFFFFF"/>
            <w:vAlign w:val="center"/>
            <w:hideMark/>
          </w:tcPr>
          <w:p w14:paraId="5A2B937A" w14:textId="1CDF6C0A" w:rsidR="00467159" w:rsidRPr="003234C5" w:rsidRDefault="00467159" w:rsidP="00467159">
            <w:pPr>
              <w:suppressAutoHyphens w:val="0"/>
              <w:spacing w:after="0" w:line="240" w:lineRule="auto"/>
              <w:jc w:val="right"/>
              <w:rPr>
                <w:rFonts w:ascii="Arial" w:eastAsia="Times New Roman" w:hAnsi="Arial" w:cs="Arial"/>
                <w:kern w:val="0"/>
                <w:sz w:val="20"/>
                <w:szCs w:val="20"/>
                <w:lang w:eastAsia="pt-BR"/>
              </w:rPr>
            </w:pPr>
            <w:r w:rsidRPr="003234C5">
              <w:rPr>
                <w:rFonts w:ascii="Arial" w:hAnsi="Arial" w:cs="Arial"/>
                <w:color w:val="000000"/>
                <w:sz w:val="20"/>
                <w:szCs w:val="20"/>
              </w:rPr>
              <w:t>656</w:t>
            </w:r>
          </w:p>
        </w:tc>
      </w:tr>
      <w:tr w:rsidR="000643C6" w:rsidRPr="003234C5" w14:paraId="2DB46F6D"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nil"/>
              <w:bottom w:val="nil"/>
              <w:right w:val="nil"/>
            </w:tcBorders>
            <w:shd w:val="clear" w:color="000000" w:fill="FFFFFF"/>
            <w:vAlign w:val="center"/>
            <w:hideMark/>
          </w:tcPr>
          <w:p w14:paraId="3B08E619" w14:textId="77777777" w:rsidR="000643C6" w:rsidRPr="003234C5" w:rsidRDefault="000643C6" w:rsidP="00DE5CEC">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 </w:t>
            </w:r>
          </w:p>
        </w:tc>
        <w:tc>
          <w:tcPr>
            <w:tcW w:w="992" w:type="dxa"/>
            <w:tcBorders>
              <w:top w:val="nil"/>
              <w:left w:val="nil"/>
              <w:bottom w:val="nil"/>
              <w:right w:val="nil"/>
            </w:tcBorders>
            <w:shd w:val="clear" w:color="000000" w:fill="FFFFFF"/>
            <w:vAlign w:val="center"/>
            <w:hideMark/>
          </w:tcPr>
          <w:p w14:paraId="5F702CEA" w14:textId="77777777" w:rsidR="000643C6" w:rsidRPr="003234C5" w:rsidRDefault="000643C6" w:rsidP="00DE5CEC">
            <w:pPr>
              <w:suppressAutoHyphens w:val="0"/>
              <w:spacing w:after="0" w:line="240" w:lineRule="auto"/>
              <w:jc w:val="right"/>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 </w:t>
            </w:r>
          </w:p>
        </w:tc>
        <w:tc>
          <w:tcPr>
            <w:tcW w:w="986" w:type="dxa"/>
            <w:tcBorders>
              <w:top w:val="nil"/>
              <w:left w:val="nil"/>
              <w:bottom w:val="nil"/>
              <w:right w:val="nil"/>
            </w:tcBorders>
            <w:shd w:val="clear" w:color="000000" w:fill="FFFFFF"/>
            <w:vAlign w:val="center"/>
            <w:hideMark/>
          </w:tcPr>
          <w:p w14:paraId="6D77F30F" w14:textId="77777777" w:rsidR="000643C6" w:rsidRPr="003234C5" w:rsidRDefault="000643C6" w:rsidP="00DE5CEC">
            <w:pPr>
              <w:suppressAutoHyphens w:val="0"/>
              <w:spacing w:after="0" w:line="240" w:lineRule="auto"/>
              <w:jc w:val="right"/>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 </w:t>
            </w:r>
          </w:p>
        </w:tc>
      </w:tr>
      <w:tr w:rsidR="000643C6" w:rsidRPr="003234C5" w14:paraId="5FCAF1DA"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E236E81" w14:textId="77777777" w:rsidR="000643C6" w:rsidRPr="003234C5" w:rsidRDefault="000643C6" w:rsidP="00DE5CEC">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DIVIDENDOS MÍNIMOS EXIGIDOS</w:t>
            </w:r>
          </w:p>
        </w:tc>
        <w:tc>
          <w:tcPr>
            <w:tcW w:w="992" w:type="dxa"/>
            <w:tcBorders>
              <w:top w:val="single" w:sz="4" w:space="0" w:color="auto"/>
              <w:left w:val="nil"/>
              <w:bottom w:val="single" w:sz="4" w:space="0" w:color="auto"/>
              <w:right w:val="single" w:sz="4" w:space="0" w:color="auto"/>
            </w:tcBorders>
            <w:shd w:val="clear" w:color="000000" w:fill="C0C0C0"/>
            <w:vAlign w:val="center"/>
          </w:tcPr>
          <w:p w14:paraId="305336C3" w14:textId="7BF0CFD7" w:rsidR="000643C6" w:rsidRPr="003234C5" w:rsidRDefault="00C6257E" w:rsidP="00DE5CEC">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2019</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03689FE6" w14:textId="3F44D855" w:rsidR="000643C6" w:rsidRPr="003234C5" w:rsidRDefault="00C6257E" w:rsidP="00DE5CEC">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2018</w:t>
            </w:r>
          </w:p>
        </w:tc>
      </w:tr>
      <w:tr w:rsidR="00467159" w:rsidRPr="003234C5" w14:paraId="51D0C30C"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07AD13FC"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Dividendo Mínimo Obrigatório Ações Preferenciais (C)</w:t>
            </w:r>
          </w:p>
        </w:tc>
        <w:tc>
          <w:tcPr>
            <w:tcW w:w="992" w:type="dxa"/>
            <w:tcBorders>
              <w:top w:val="nil"/>
              <w:left w:val="nil"/>
              <w:bottom w:val="single" w:sz="4" w:space="0" w:color="auto"/>
              <w:right w:val="single" w:sz="4" w:space="0" w:color="auto"/>
            </w:tcBorders>
            <w:shd w:val="clear" w:color="auto" w:fill="auto"/>
            <w:vAlign w:val="center"/>
          </w:tcPr>
          <w:p w14:paraId="15E47195" w14:textId="47297B6D" w:rsidR="00467159" w:rsidRPr="003234C5" w:rsidRDefault="001D07A0" w:rsidP="00467159">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5.47</w:t>
            </w:r>
            <w:r w:rsidR="002119A7">
              <w:rPr>
                <w:rFonts w:ascii="Arial" w:eastAsia="Times New Roman" w:hAnsi="Arial" w:cs="Arial"/>
                <w:kern w:val="0"/>
                <w:sz w:val="20"/>
                <w:szCs w:val="20"/>
                <w:lang w:eastAsia="pt-BR"/>
              </w:rPr>
              <w:t>3</w:t>
            </w:r>
          </w:p>
        </w:tc>
        <w:tc>
          <w:tcPr>
            <w:tcW w:w="986" w:type="dxa"/>
            <w:tcBorders>
              <w:top w:val="nil"/>
              <w:left w:val="nil"/>
              <w:bottom w:val="single" w:sz="4" w:space="0" w:color="auto"/>
              <w:right w:val="single" w:sz="4" w:space="0" w:color="auto"/>
            </w:tcBorders>
            <w:shd w:val="clear" w:color="auto" w:fill="auto"/>
            <w:vAlign w:val="center"/>
            <w:hideMark/>
          </w:tcPr>
          <w:p w14:paraId="77E61C18" w14:textId="50847A31" w:rsidR="00467159" w:rsidRPr="003234C5" w:rsidRDefault="00467159" w:rsidP="00467159">
            <w:pPr>
              <w:suppressAutoHyphens w:val="0"/>
              <w:spacing w:after="0" w:line="240" w:lineRule="auto"/>
              <w:jc w:val="right"/>
              <w:rPr>
                <w:rFonts w:ascii="Arial" w:eastAsia="Times New Roman" w:hAnsi="Arial" w:cs="Arial"/>
                <w:kern w:val="0"/>
                <w:sz w:val="20"/>
                <w:szCs w:val="20"/>
                <w:lang w:eastAsia="pt-BR"/>
              </w:rPr>
            </w:pPr>
            <w:r w:rsidRPr="003234C5">
              <w:rPr>
                <w:rFonts w:ascii="Arial" w:hAnsi="Arial" w:cs="Arial"/>
                <w:color w:val="000000"/>
                <w:sz w:val="20"/>
                <w:szCs w:val="20"/>
              </w:rPr>
              <w:t>5.025</w:t>
            </w:r>
          </w:p>
        </w:tc>
      </w:tr>
      <w:tr w:rsidR="00467159" w:rsidRPr="003234C5" w14:paraId="7F639F9F"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nil"/>
              <w:right w:val="single" w:sz="4" w:space="0" w:color="auto"/>
            </w:tcBorders>
            <w:shd w:val="clear" w:color="000000" w:fill="FFFFFF"/>
            <w:vAlign w:val="center"/>
            <w:hideMark/>
          </w:tcPr>
          <w:p w14:paraId="50D786CA" w14:textId="77777777" w:rsidR="00467159" w:rsidRPr="003234C5" w:rsidRDefault="00467159" w:rsidP="00467159">
            <w:pPr>
              <w:suppressAutoHyphens w:val="0"/>
              <w:spacing w:after="0" w:line="240" w:lineRule="auto"/>
              <w:jc w:val="both"/>
              <w:rPr>
                <w:rFonts w:ascii="Arial" w:eastAsia="Times New Roman" w:hAnsi="Arial" w:cs="Arial"/>
                <w:kern w:val="0"/>
                <w:sz w:val="20"/>
                <w:szCs w:val="20"/>
                <w:lang w:eastAsia="pt-BR"/>
              </w:rPr>
            </w:pPr>
            <w:r w:rsidRPr="003234C5">
              <w:rPr>
                <w:rFonts w:ascii="Arial" w:eastAsia="Times New Roman" w:hAnsi="Arial" w:cs="Arial"/>
                <w:kern w:val="0"/>
                <w:sz w:val="20"/>
                <w:szCs w:val="20"/>
                <w:lang w:eastAsia="pt-BR"/>
              </w:rPr>
              <w:t>Dividendos mínimos Ações Ordinárias (F)</w:t>
            </w:r>
          </w:p>
        </w:tc>
        <w:tc>
          <w:tcPr>
            <w:tcW w:w="992" w:type="dxa"/>
            <w:tcBorders>
              <w:top w:val="nil"/>
              <w:left w:val="nil"/>
              <w:bottom w:val="single" w:sz="4" w:space="0" w:color="auto"/>
              <w:right w:val="single" w:sz="4" w:space="0" w:color="auto"/>
            </w:tcBorders>
            <w:shd w:val="clear" w:color="000000" w:fill="FFFFFF"/>
            <w:vAlign w:val="center"/>
          </w:tcPr>
          <w:p w14:paraId="775ACEA4" w14:textId="0BD919F8" w:rsidR="00467159" w:rsidRPr="003234C5" w:rsidRDefault="001D07A0" w:rsidP="00467159">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92</w:t>
            </w:r>
            <w:r w:rsidR="002119A7">
              <w:rPr>
                <w:rFonts w:ascii="Arial" w:eastAsia="Times New Roman" w:hAnsi="Arial" w:cs="Arial"/>
                <w:kern w:val="0"/>
                <w:sz w:val="20"/>
                <w:szCs w:val="20"/>
                <w:lang w:eastAsia="pt-BR"/>
              </w:rPr>
              <w:t>2</w:t>
            </w:r>
          </w:p>
        </w:tc>
        <w:tc>
          <w:tcPr>
            <w:tcW w:w="986" w:type="dxa"/>
            <w:tcBorders>
              <w:top w:val="nil"/>
              <w:left w:val="nil"/>
              <w:bottom w:val="single" w:sz="4" w:space="0" w:color="auto"/>
              <w:right w:val="single" w:sz="4" w:space="0" w:color="auto"/>
            </w:tcBorders>
            <w:shd w:val="clear" w:color="000000" w:fill="FFFFFF"/>
            <w:vAlign w:val="center"/>
            <w:hideMark/>
          </w:tcPr>
          <w:p w14:paraId="71B672EB" w14:textId="7C94DF39" w:rsidR="00467159" w:rsidRPr="003234C5" w:rsidRDefault="00467159" w:rsidP="00467159">
            <w:pPr>
              <w:suppressAutoHyphens w:val="0"/>
              <w:spacing w:after="0" w:line="240" w:lineRule="auto"/>
              <w:jc w:val="right"/>
              <w:rPr>
                <w:rFonts w:ascii="Arial" w:eastAsia="Times New Roman" w:hAnsi="Arial" w:cs="Arial"/>
                <w:kern w:val="0"/>
                <w:sz w:val="20"/>
                <w:szCs w:val="20"/>
                <w:lang w:eastAsia="pt-BR"/>
              </w:rPr>
            </w:pPr>
            <w:r w:rsidRPr="003234C5">
              <w:rPr>
                <w:rFonts w:ascii="Arial" w:hAnsi="Arial" w:cs="Arial"/>
                <w:color w:val="000000"/>
                <w:sz w:val="20"/>
                <w:szCs w:val="20"/>
              </w:rPr>
              <w:t>656</w:t>
            </w:r>
          </w:p>
        </w:tc>
      </w:tr>
      <w:tr w:rsidR="00467159" w:rsidRPr="003234C5" w14:paraId="3FCA3736"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EF9983" w14:textId="77777777" w:rsidR="00467159" w:rsidRPr="003234C5" w:rsidRDefault="00467159" w:rsidP="00467159">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Total Dividendo Mínimo Exigido (C + F)</w:t>
            </w:r>
          </w:p>
        </w:tc>
        <w:tc>
          <w:tcPr>
            <w:tcW w:w="992" w:type="dxa"/>
            <w:tcBorders>
              <w:top w:val="nil"/>
              <w:left w:val="nil"/>
              <w:bottom w:val="single" w:sz="4" w:space="0" w:color="auto"/>
              <w:right w:val="single" w:sz="4" w:space="0" w:color="auto"/>
            </w:tcBorders>
            <w:shd w:val="clear" w:color="000000" w:fill="FFFFFF"/>
            <w:vAlign w:val="center"/>
          </w:tcPr>
          <w:p w14:paraId="21E10F15" w14:textId="6DA055C0" w:rsidR="00467159" w:rsidRPr="003234C5" w:rsidRDefault="007A3A15" w:rsidP="00467159">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6.395</w:t>
            </w:r>
          </w:p>
        </w:tc>
        <w:tc>
          <w:tcPr>
            <w:tcW w:w="986" w:type="dxa"/>
            <w:tcBorders>
              <w:top w:val="nil"/>
              <w:left w:val="nil"/>
              <w:bottom w:val="single" w:sz="4" w:space="0" w:color="auto"/>
              <w:right w:val="single" w:sz="4" w:space="0" w:color="auto"/>
            </w:tcBorders>
            <w:shd w:val="clear" w:color="auto" w:fill="auto"/>
            <w:vAlign w:val="center"/>
            <w:hideMark/>
          </w:tcPr>
          <w:p w14:paraId="520C5FF6" w14:textId="3BE8B94A" w:rsidR="00467159" w:rsidRPr="003234C5" w:rsidRDefault="00467159" w:rsidP="00467159">
            <w:pPr>
              <w:suppressAutoHyphens w:val="0"/>
              <w:spacing w:after="0" w:line="240" w:lineRule="auto"/>
              <w:jc w:val="right"/>
              <w:rPr>
                <w:rFonts w:ascii="Arial" w:eastAsia="Times New Roman" w:hAnsi="Arial" w:cs="Arial"/>
                <w:b/>
                <w:bCs/>
                <w:kern w:val="0"/>
                <w:sz w:val="20"/>
                <w:szCs w:val="20"/>
                <w:lang w:eastAsia="pt-BR"/>
              </w:rPr>
            </w:pPr>
            <w:r w:rsidRPr="003234C5">
              <w:rPr>
                <w:rFonts w:ascii="Arial" w:hAnsi="Arial" w:cs="Arial"/>
                <w:b/>
                <w:bCs/>
                <w:color w:val="000000"/>
                <w:sz w:val="20"/>
                <w:szCs w:val="20"/>
              </w:rPr>
              <w:t>5.681</w:t>
            </w:r>
          </w:p>
        </w:tc>
      </w:tr>
      <w:tr w:rsidR="000643C6" w:rsidRPr="003234C5" w14:paraId="61D78035"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nil"/>
              <w:bottom w:val="nil"/>
              <w:right w:val="nil"/>
            </w:tcBorders>
            <w:shd w:val="clear" w:color="000000" w:fill="FFFFFF"/>
            <w:vAlign w:val="center"/>
            <w:hideMark/>
          </w:tcPr>
          <w:p w14:paraId="4BB4DA19" w14:textId="77777777" w:rsidR="000643C6" w:rsidRPr="003234C5" w:rsidRDefault="000643C6" w:rsidP="00DE5CEC">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 </w:t>
            </w:r>
          </w:p>
        </w:tc>
        <w:tc>
          <w:tcPr>
            <w:tcW w:w="992" w:type="dxa"/>
            <w:tcBorders>
              <w:top w:val="nil"/>
              <w:left w:val="nil"/>
              <w:bottom w:val="nil"/>
              <w:right w:val="nil"/>
            </w:tcBorders>
            <w:shd w:val="clear" w:color="000000" w:fill="FFFFFF"/>
            <w:vAlign w:val="center"/>
            <w:hideMark/>
          </w:tcPr>
          <w:p w14:paraId="741FD5DC" w14:textId="77777777" w:rsidR="000643C6" w:rsidRPr="003234C5" w:rsidRDefault="000643C6" w:rsidP="00DE5CEC">
            <w:pPr>
              <w:suppressAutoHyphens w:val="0"/>
              <w:spacing w:after="0" w:line="240" w:lineRule="auto"/>
              <w:jc w:val="right"/>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 </w:t>
            </w:r>
          </w:p>
        </w:tc>
        <w:tc>
          <w:tcPr>
            <w:tcW w:w="986" w:type="dxa"/>
            <w:tcBorders>
              <w:top w:val="nil"/>
              <w:left w:val="nil"/>
              <w:bottom w:val="nil"/>
              <w:right w:val="nil"/>
            </w:tcBorders>
            <w:shd w:val="clear" w:color="auto" w:fill="auto"/>
            <w:vAlign w:val="center"/>
            <w:hideMark/>
          </w:tcPr>
          <w:p w14:paraId="045C3E87" w14:textId="77777777" w:rsidR="000643C6" w:rsidRPr="003234C5" w:rsidRDefault="000643C6" w:rsidP="00DE5CEC">
            <w:pPr>
              <w:suppressAutoHyphens w:val="0"/>
              <w:spacing w:after="0" w:line="240" w:lineRule="auto"/>
              <w:jc w:val="right"/>
              <w:rPr>
                <w:rFonts w:ascii="Arial" w:eastAsia="Times New Roman" w:hAnsi="Arial" w:cs="Arial"/>
                <w:b/>
                <w:bCs/>
                <w:kern w:val="0"/>
                <w:sz w:val="20"/>
                <w:szCs w:val="20"/>
                <w:lang w:eastAsia="pt-BR"/>
              </w:rPr>
            </w:pPr>
          </w:p>
        </w:tc>
      </w:tr>
      <w:tr w:rsidR="000643C6" w:rsidRPr="003234C5" w14:paraId="063F2FD9" w14:textId="77777777" w:rsidTr="008338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00"/>
          <w:jc w:val="center"/>
        </w:trPr>
        <w:tc>
          <w:tcPr>
            <w:tcW w:w="708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35E4FD1" w14:textId="77777777" w:rsidR="000643C6" w:rsidRPr="003234C5" w:rsidRDefault="000643C6" w:rsidP="00DE5CEC">
            <w:pPr>
              <w:suppressAutoHyphens w:val="0"/>
              <w:spacing w:after="0" w:line="240" w:lineRule="auto"/>
              <w:jc w:val="both"/>
              <w:rPr>
                <w:rFonts w:ascii="Arial" w:eastAsia="Times New Roman" w:hAnsi="Arial" w:cs="Arial"/>
                <w:b/>
                <w:bCs/>
                <w:kern w:val="0"/>
                <w:sz w:val="20"/>
                <w:szCs w:val="20"/>
                <w:lang w:eastAsia="pt-BR"/>
              </w:rPr>
            </w:pPr>
            <w:r w:rsidRPr="003234C5">
              <w:rPr>
                <w:rFonts w:ascii="Arial" w:eastAsia="Times New Roman" w:hAnsi="Arial" w:cs="Arial"/>
                <w:b/>
                <w:bCs/>
                <w:kern w:val="0"/>
                <w:sz w:val="20"/>
                <w:szCs w:val="20"/>
                <w:lang w:eastAsia="pt-BR"/>
              </w:rPr>
              <w:t>Dividendos adicionais propostos pela Administração (B - C - F)</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7428C13D" w14:textId="4321F9C8" w:rsidR="000643C6" w:rsidRPr="003234C5" w:rsidRDefault="007A3A15" w:rsidP="00DE5CEC">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29.89</w:t>
            </w:r>
            <w:r w:rsidR="001A597F">
              <w:rPr>
                <w:rFonts w:ascii="Arial" w:eastAsia="Times New Roman" w:hAnsi="Arial" w:cs="Arial"/>
                <w:b/>
                <w:bCs/>
                <w:color w:val="000000"/>
                <w:kern w:val="0"/>
                <w:sz w:val="20"/>
                <w:szCs w:val="20"/>
                <w:lang w:eastAsia="pt-BR"/>
              </w:rPr>
              <w:t>6</w:t>
            </w:r>
          </w:p>
        </w:tc>
        <w:tc>
          <w:tcPr>
            <w:tcW w:w="986" w:type="dxa"/>
            <w:tcBorders>
              <w:top w:val="single" w:sz="4" w:space="0" w:color="auto"/>
              <w:left w:val="nil"/>
              <w:bottom w:val="single" w:sz="4" w:space="0" w:color="auto"/>
              <w:right w:val="single" w:sz="4" w:space="0" w:color="auto"/>
            </w:tcBorders>
            <w:shd w:val="clear" w:color="000000" w:fill="BFBFBF"/>
            <w:vAlign w:val="center"/>
            <w:hideMark/>
          </w:tcPr>
          <w:p w14:paraId="5A8A49D4" w14:textId="79F40E40" w:rsidR="000643C6" w:rsidRPr="003234C5" w:rsidRDefault="00467159" w:rsidP="00DE5CEC">
            <w:pPr>
              <w:suppressAutoHyphens w:val="0"/>
              <w:spacing w:after="0" w:line="240" w:lineRule="auto"/>
              <w:jc w:val="right"/>
              <w:rPr>
                <w:rFonts w:ascii="Arial" w:eastAsia="Times New Roman" w:hAnsi="Arial" w:cs="Arial"/>
                <w:b/>
                <w:bCs/>
                <w:kern w:val="0"/>
                <w:sz w:val="20"/>
                <w:szCs w:val="20"/>
                <w:lang w:eastAsia="pt-BR"/>
              </w:rPr>
            </w:pPr>
            <w:r w:rsidRPr="003234C5">
              <w:rPr>
                <w:rFonts w:ascii="Arial" w:hAnsi="Arial" w:cs="Arial"/>
                <w:b/>
                <w:bCs/>
                <w:color w:val="000000"/>
                <w:sz w:val="20"/>
                <w:szCs w:val="20"/>
              </w:rPr>
              <w:t>27.216</w:t>
            </w:r>
          </w:p>
        </w:tc>
      </w:tr>
    </w:tbl>
    <w:p w14:paraId="0D8E8E5D" w14:textId="77777777" w:rsidR="00463087" w:rsidRDefault="00463087" w:rsidP="006E2636">
      <w:pPr>
        <w:jc w:val="both"/>
        <w:rPr>
          <w:rFonts w:ascii="Arial" w:hAnsi="Arial" w:cs="Arial"/>
          <w:b/>
        </w:rPr>
      </w:pPr>
    </w:p>
    <w:p w14:paraId="22F9A8E0" w14:textId="77777777" w:rsidR="00BF1849" w:rsidRDefault="00BF1849" w:rsidP="006E2636">
      <w:pPr>
        <w:jc w:val="both"/>
        <w:rPr>
          <w:rFonts w:ascii="Arial" w:hAnsi="Arial" w:cs="Arial"/>
          <w:b/>
        </w:rPr>
      </w:pPr>
    </w:p>
    <w:p w14:paraId="781B591F" w14:textId="77777777" w:rsidR="00BF1849" w:rsidRDefault="00BF1849" w:rsidP="006E2636">
      <w:pPr>
        <w:jc w:val="both"/>
        <w:rPr>
          <w:rFonts w:ascii="Arial" w:hAnsi="Arial" w:cs="Arial"/>
          <w:b/>
        </w:rPr>
      </w:pPr>
    </w:p>
    <w:p w14:paraId="755E6B86" w14:textId="77777777" w:rsidR="00BF1849" w:rsidRDefault="00BF1849" w:rsidP="006E2636">
      <w:pPr>
        <w:jc w:val="both"/>
        <w:rPr>
          <w:rFonts w:ascii="Arial" w:hAnsi="Arial" w:cs="Arial"/>
          <w:b/>
        </w:rPr>
      </w:pPr>
    </w:p>
    <w:p w14:paraId="090A4E77" w14:textId="4C370242" w:rsidR="006E2636" w:rsidRPr="003234C5" w:rsidRDefault="006E2636" w:rsidP="006E2636">
      <w:pPr>
        <w:jc w:val="both"/>
        <w:rPr>
          <w:rFonts w:ascii="Arial" w:hAnsi="Arial" w:cs="Arial"/>
          <w:b/>
        </w:rPr>
      </w:pPr>
      <w:r w:rsidRPr="003234C5">
        <w:rPr>
          <w:rFonts w:ascii="Arial" w:hAnsi="Arial" w:cs="Arial"/>
          <w:b/>
        </w:rPr>
        <w:lastRenderedPageBreak/>
        <w:t>NOTA 2</w:t>
      </w:r>
      <w:r w:rsidR="005953BA">
        <w:rPr>
          <w:rFonts w:ascii="Arial" w:hAnsi="Arial" w:cs="Arial"/>
          <w:b/>
        </w:rPr>
        <w:t>6</w:t>
      </w:r>
      <w:r w:rsidRPr="003234C5">
        <w:rPr>
          <w:rFonts w:ascii="Arial" w:hAnsi="Arial" w:cs="Arial"/>
          <w:b/>
        </w:rPr>
        <w:t xml:space="preserve">.  PARTICIPAÇÃO NOS LUCROS E RESULTADOS DOS EMPREGADOS E BÔNUS DE DESEMPENHO DOS DIRETORES </w:t>
      </w:r>
    </w:p>
    <w:p w14:paraId="6B70D15E" w14:textId="18F44DF2" w:rsidR="006E2636" w:rsidRPr="003234C5" w:rsidRDefault="006E2636" w:rsidP="006E2636">
      <w:pPr>
        <w:jc w:val="both"/>
        <w:rPr>
          <w:rFonts w:ascii="Arial" w:hAnsi="Arial" w:cs="Arial"/>
        </w:rPr>
      </w:pPr>
      <w:r w:rsidRPr="003234C5">
        <w:rPr>
          <w:rFonts w:ascii="Arial" w:hAnsi="Arial" w:cs="Arial"/>
        </w:rPr>
        <w:t>Em conformidade com as disposições contidas na Lei N.º 10.101/2000 e com a Política de Participação nos Lucros e Resultados aprovada pelo Conselho de Administração, a Companhia estipulou o Programa de Participação nos Lucros e Resultados dos empregados (PPLR) com anuência do Sindicato dos Trabalhadores na Indústria de Petróleo nos Estados do Ceará e Piauí – SINDIPETRO-CE/PI e o programa de Bônus de Desempenho a título de participação nos lucros dos diretores para o exercício 201</w:t>
      </w:r>
      <w:r w:rsidR="00656862">
        <w:rPr>
          <w:rFonts w:ascii="Arial" w:hAnsi="Arial" w:cs="Arial"/>
        </w:rPr>
        <w:t>9</w:t>
      </w:r>
      <w:r w:rsidRPr="003234C5">
        <w:rPr>
          <w:rFonts w:ascii="Arial" w:hAnsi="Arial" w:cs="Arial"/>
        </w:rPr>
        <w:t xml:space="preserve">. </w:t>
      </w:r>
      <w:bookmarkStart w:id="40" w:name="_Hlk507759586"/>
      <w:r w:rsidRPr="003234C5">
        <w:rPr>
          <w:rFonts w:ascii="Arial" w:hAnsi="Arial" w:cs="Arial"/>
        </w:rPr>
        <w:t xml:space="preserve">Foram estabelecidas as Metas Corporativas para o período, bem como os critérios de sua mensuração, documento este que foi aprovado pelo Conselho </w:t>
      </w:r>
      <w:r w:rsidRPr="005953BA">
        <w:rPr>
          <w:rFonts w:ascii="Arial" w:hAnsi="Arial" w:cs="Arial"/>
        </w:rPr>
        <w:t xml:space="preserve">de Administração em </w:t>
      </w:r>
      <w:bookmarkEnd w:id="40"/>
      <w:r w:rsidR="005953BA" w:rsidRPr="005953BA">
        <w:rPr>
          <w:rFonts w:ascii="Arial" w:hAnsi="Arial" w:cs="Arial"/>
        </w:rPr>
        <w:t>13</w:t>
      </w:r>
      <w:r w:rsidRPr="005953BA">
        <w:rPr>
          <w:rFonts w:ascii="Arial" w:hAnsi="Arial" w:cs="Arial"/>
        </w:rPr>
        <w:t xml:space="preserve"> de </w:t>
      </w:r>
      <w:r w:rsidR="005953BA" w:rsidRPr="005953BA">
        <w:rPr>
          <w:rFonts w:ascii="Arial" w:hAnsi="Arial" w:cs="Arial"/>
        </w:rPr>
        <w:t>dezembro</w:t>
      </w:r>
      <w:r w:rsidRPr="005953BA">
        <w:rPr>
          <w:rFonts w:ascii="Arial" w:hAnsi="Arial" w:cs="Arial"/>
        </w:rPr>
        <w:t xml:space="preserve"> de 2018, nos termos da ata da sua 1</w:t>
      </w:r>
      <w:r w:rsidR="005953BA" w:rsidRPr="005953BA">
        <w:rPr>
          <w:rFonts w:ascii="Arial" w:hAnsi="Arial" w:cs="Arial"/>
        </w:rPr>
        <w:t>79</w:t>
      </w:r>
      <w:r w:rsidRPr="005953BA">
        <w:rPr>
          <w:rFonts w:ascii="Arial" w:hAnsi="Arial" w:cs="Arial"/>
        </w:rPr>
        <w:t>ª Reunião.</w:t>
      </w:r>
    </w:p>
    <w:p w14:paraId="780FDC47" w14:textId="424FF3CF" w:rsidR="00C62487" w:rsidRPr="003234C5" w:rsidRDefault="006E2636" w:rsidP="006E2636">
      <w:pPr>
        <w:widowControl w:val="0"/>
        <w:jc w:val="both"/>
        <w:rPr>
          <w:rFonts w:ascii="Arial" w:hAnsi="Arial" w:cs="Arial"/>
        </w:rPr>
      </w:pPr>
      <w:r w:rsidRPr="003234C5">
        <w:rPr>
          <w:rFonts w:ascii="Arial" w:hAnsi="Arial" w:cs="Arial"/>
        </w:rPr>
        <w:t>O valor provisionado para o exercício de 201</w:t>
      </w:r>
      <w:r w:rsidR="005953BA">
        <w:rPr>
          <w:rFonts w:ascii="Arial" w:hAnsi="Arial" w:cs="Arial"/>
        </w:rPr>
        <w:t>9</w:t>
      </w:r>
      <w:r w:rsidR="000643C6" w:rsidRPr="003234C5">
        <w:rPr>
          <w:rFonts w:ascii="Arial" w:hAnsi="Arial" w:cs="Arial"/>
        </w:rPr>
        <w:t xml:space="preserve"> </w:t>
      </w:r>
      <w:r w:rsidRPr="003234C5">
        <w:rPr>
          <w:rFonts w:ascii="Arial" w:hAnsi="Arial" w:cs="Arial"/>
        </w:rPr>
        <w:t xml:space="preserve">a título de Participação nos Lucros e Resultados aos empregados </w:t>
      </w:r>
      <w:r w:rsidR="007447DE" w:rsidRPr="003234C5">
        <w:rPr>
          <w:rFonts w:ascii="Arial" w:hAnsi="Arial" w:cs="Arial"/>
        </w:rPr>
        <w:t>foi</w:t>
      </w:r>
      <w:r w:rsidRPr="003234C5">
        <w:rPr>
          <w:rFonts w:ascii="Arial" w:hAnsi="Arial" w:cs="Arial"/>
        </w:rPr>
        <w:t xml:space="preserve"> de R$ </w:t>
      </w:r>
      <w:r w:rsidR="005953BA">
        <w:rPr>
          <w:rFonts w:ascii="Arial" w:hAnsi="Arial" w:cs="Arial"/>
        </w:rPr>
        <w:t>1.443</w:t>
      </w:r>
      <w:r w:rsidRPr="003234C5">
        <w:rPr>
          <w:rFonts w:ascii="Arial" w:hAnsi="Arial" w:cs="Arial"/>
        </w:rPr>
        <w:t>, e de Bônus de Desempenho a título de participação nos lucros para diretores</w:t>
      </w:r>
      <w:r w:rsidR="00D37C65" w:rsidRPr="003234C5">
        <w:rPr>
          <w:rFonts w:ascii="Arial" w:hAnsi="Arial" w:cs="Arial"/>
        </w:rPr>
        <w:t xml:space="preserve"> </w:t>
      </w:r>
      <w:r w:rsidR="007447DE" w:rsidRPr="003234C5">
        <w:rPr>
          <w:rFonts w:ascii="Arial" w:hAnsi="Arial" w:cs="Arial"/>
        </w:rPr>
        <w:t>foi</w:t>
      </w:r>
      <w:r w:rsidRPr="003234C5">
        <w:rPr>
          <w:rFonts w:ascii="Arial" w:hAnsi="Arial" w:cs="Arial"/>
        </w:rPr>
        <w:t xml:space="preserve"> de R$</w:t>
      </w:r>
      <w:r w:rsidR="005953BA">
        <w:rPr>
          <w:rFonts w:ascii="Arial" w:hAnsi="Arial" w:cs="Arial"/>
        </w:rPr>
        <w:t xml:space="preserve"> 112</w:t>
      </w:r>
      <w:r w:rsidRPr="003234C5">
        <w:rPr>
          <w:rFonts w:ascii="Arial" w:hAnsi="Arial" w:cs="Arial"/>
        </w:rPr>
        <w:t>, tendo sido calculados com base na apuração de realização das Metas Corporativas fixadas para o referido exercício, e das metas setoriais negociadas entre diretores e colaboradores.</w:t>
      </w:r>
    </w:p>
    <w:p w14:paraId="6B0F9ACE" w14:textId="5092A984" w:rsidR="00200682" w:rsidRPr="003234C5" w:rsidRDefault="00200682" w:rsidP="00200682">
      <w:pPr>
        <w:widowControl w:val="0"/>
        <w:jc w:val="both"/>
        <w:rPr>
          <w:rFonts w:ascii="Arial" w:hAnsi="Arial" w:cs="Arial"/>
          <w:b/>
        </w:rPr>
      </w:pPr>
      <w:r w:rsidRPr="003234C5">
        <w:rPr>
          <w:rFonts w:ascii="Arial" w:hAnsi="Arial" w:cs="Arial"/>
          <w:b/>
        </w:rPr>
        <w:t>NOTA 2</w:t>
      </w:r>
      <w:r w:rsidR="005953BA">
        <w:rPr>
          <w:rFonts w:ascii="Arial" w:hAnsi="Arial" w:cs="Arial"/>
          <w:b/>
        </w:rPr>
        <w:t>7</w:t>
      </w:r>
      <w:r w:rsidRPr="003234C5">
        <w:rPr>
          <w:rFonts w:ascii="Arial" w:hAnsi="Arial" w:cs="Arial"/>
          <w:b/>
        </w:rPr>
        <w:t>. CAPITAL SOCIAL</w:t>
      </w:r>
    </w:p>
    <w:p w14:paraId="50B2C772" w14:textId="5E125448" w:rsidR="00200682" w:rsidRPr="003234C5" w:rsidRDefault="00200682" w:rsidP="00200682">
      <w:pPr>
        <w:autoSpaceDE w:val="0"/>
        <w:autoSpaceDN w:val="0"/>
        <w:adjustRightInd w:val="0"/>
        <w:jc w:val="both"/>
        <w:rPr>
          <w:rFonts w:ascii="Arial" w:hAnsi="Arial" w:cs="Arial"/>
        </w:rPr>
      </w:pPr>
      <w:r w:rsidRPr="003234C5">
        <w:rPr>
          <w:rFonts w:ascii="Arial" w:hAnsi="Arial" w:cs="Arial"/>
        </w:rPr>
        <w:t xml:space="preserve">Em </w:t>
      </w:r>
      <w:r w:rsidR="00467159">
        <w:rPr>
          <w:rFonts w:ascii="Arial" w:hAnsi="Arial" w:cs="Arial"/>
        </w:rPr>
        <w:t>31 de dezembro</w:t>
      </w:r>
      <w:r w:rsidRPr="003234C5">
        <w:rPr>
          <w:rFonts w:ascii="Arial" w:hAnsi="Arial" w:cs="Arial"/>
        </w:rPr>
        <w:t xml:space="preserve"> de 201</w:t>
      </w:r>
      <w:r w:rsidR="009B022C" w:rsidRPr="003234C5">
        <w:rPr>
          <w:rFonts w:ascii="Arial" w:hAnsi="Arial" w:cs="Arial"/>
        </w:rPr>
        <w:t>9</w:t>
      </w:r>
      <w:r w:rsidRPr="003234C5">
        <w:rPr>
          <w:rFonts w:ascii="Arial" w:hAnsi="Arial" w:cs="Arial"/>
        </w:rPr>
        <w:t>, assim como em dezembro de 201</w:t>
      </w:r>
      <w:r w:rsidR="009B022C" w:rsidRPr="003234C5">
        <w:rPr>
          <w:rFonts w:ascii="Arial" w:hAnsi="Arial" w:cs="Arial"/>
        </w:rPr>
        <w:t>8</w:t>
      </w:r>
      <w:r w:rsidRPr="003234C5">
        <w:rPr>
          <w:rFonts w:ascii="Arial" w:hAnsi="Arial" w:cs="Arial"/>
        </w:rPr>
        <w:t xml:space="preserve">, o capital social estava composto de 39.400.000 ações sem valor nominal, sendo 13.133.334 ações ordinárias e 26.266.666 ações preferenciais, todas de classe única, de acordo com a distribuição a seguir:    </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56"/>
        <w:gridCol w:w="1520"/>
        <w:gridCol w:w="1392"/>
        <w:gridCol w:w="1457"/>
      </w:tblGrid>
      <w:tr w:rsidR="00200682" w:rsidRPr="003234C5" w14:paraId="2DF261C4" w14:textId="77777777" w:rsidTr="0084570A">
        <w:trPr>
          <w:trHeight w:val="284"/>
          <w:jc w:val="center"/>
        </w:trPr>
        <w:tc>
          <w:tcPr>
            <w:tcW w:w="3256" w:type="dxa"/>
            <w:shd w:val="clear" w:color="auto" w:fill="C0C0C0"/>
            <w:vAlign w:val="center"/>
          </w:tcPr>
          <w:p w14:paraId="759A4EEE" w14:textId="77777777" w:rsidR="00200682" w:rsidRPr="003234C5" w:rsidRDefault="00200682" w:rsidP="00E8434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ACIONISTAS</w:t>
            </w:r>
          </w:p>
        </w:tc>
        <w:tc>
          <w:tcPr>
            <w:tcW w:w="1456" w:type="dxa"/>
            <w:shd w:val="clear" w:color="auto" w:fill="C0C0C0"/>
            <w:vAlign w:val="center"/>
          </w:tcPr>
          <w:p w14:paraId="3BD2FD97" w14:textId="77777777" w:rsidR="00200682" w:rsidRPr="003234C5" w:rsidRDefault="00200682" w:rsidP="00E84342">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Ações Ordinárias</w:t>
            </w:r>
          </w:p>
        </w:tc>
        <w:tc>
          <w:tcPr>
            <w:tcW w:w="1520" w:type="dxa"/>
            <w:shd w:val="clear" w:color="auto" w:fill="C0C0C0"/>
            <w:vAlign w:val="center"/>
          </w:tcPr>
          <w:p w14:paraId="285770E2" w14:textId="77777777" w:rsidR="00200682" w:rsidRPr="003234C5" w:rsidRDefault="00200682" w:rsidP="00E84342">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Ações Preferenciais</w:t>
            </w:r>
          </w:p>
        </w:tc>
        <w:tc>
          <w:tcPr>
            <w:tcW w:w="1392" w:type="dxa"/>
            <w:shd w:val="clear" w:color="auto" w:fill="C0C0C0"/>
            <w:vAlign w:val="center"/>
          </w:tcPr>
          <w:p w14:paraId="3D925E93" w14:textId="77777777" w:rsidR="00200682" w:rsidRPr="003234C5" w:rsidRDefault="00200682" w:rsidP="00E84342">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Capital Votante (%)</w:t>
            </w:r>
          </w:p>
        </w:tc>
        <w:tc>
          <w:tcPr>
            <w:tcW w:w="1457" w:type="dxa"/>
            <w:shd w:val="clear" w:color="auto" w:fill="C0C0C0"/>
            <w:vAlign w:val="center"/>
          </w:tcPr>
          <w:p w14:paraId="33430A64" w14:textId="77777777" w:rsidR="00200682" w:rsidRPr="003234C5" w:rsidRDefault="00200682" w:rsidP="00E84342">
            <w:pPr>
              <w:autoSpaceDE w:val="0"/>
              <w:autoSpaceDN w:val="0"/>
              <w:adjustRightInd w:val="0"/>
              <w:spacing w:after="0"/>
              <w:jc w:val="center"/>
              <w:rPr>
                <w:rFonts w:ascii="Arial" w:hAnsi="Arial" w:cs="Arial"/>
                <w:b/>
                <w:sz w:val="20"/>
                <w:szCs w:val="20"/>
              </w:rPr>
            </w:pPr>
            <w:r w:rsidRPr="003234C5">
              <w:rPr>
                <w:rFonts w:ascii="Arial" w:hAnsi="Arial" w:cs="Arial"/>
                <w:b/>
                <w:sz w:val="20"/>
                <w:szCs w:val="20"/>
              </w:rPr>
              <w:t>Capital Total (%)</w:t>
            </w:r>
          </w:p>
        </w:tc>
      </w:tr>
      <w:tr w:rsidR="00200682" w:rsidRPr="003234C5" w14:paraId="1B3E4644" w14:textId="77777777" w:rsidTr="0084570A">
        <w:trPr>
          <w:trHeight w:val="284"/>
          <w:jc w:val="center"/>
        </w:trPr>
        <w:tc>
          <w:tcPr>
            <w:tcW w:w="3256" w:type="dxa"/>
            <w:shd w:val="clear" w:color="auto" w:fill="FFFFFF"/>
            <w:vAlign w:val="bottom"/>
          </w:tcPr>
          <w:p w14:paraId="469D61F6" w14:textId="77777777" w:rsidR="00200682" w:rsidRPr="003234C5" w:rsidRDefault="00200682" w:rsidP="00E84342">
            <w:pPr>
              <w:spacing w:after="0"/>
              <w:jc w:val="both"/>
              <w:rPr>
                <w:rFonts w:ascii="Arial" w:hAnsi="Arial" w:cs="Arial"/>
                <w:bCs/>
                <w:sz w:val="20"/>
                <w:szCs w:val="20"/>
              </w:rPr>
            </w:pPr>
            <w:r w:rsidRPr="003234C5">
              <w:rPr>
                <w:rFonts w:ascii="Arial" w:hAnsi="Arial" w:cs="Arial"/>
                <w:bCs/>
                <w:sz w:val="20"/>
                <w:szCs w:val="20"/>
              </w:rPr>
              <w:t>Estado do Ceará</w:t>
            </w:r>
          </w:p>
        </w:tc>
        <w:tc>
          <w:tcPr>
            <w:tcW w:w="1456" w:type="dxa"/>
            <w:shd w:val="clear" w:color="auto" w:fill="FFFFFF"/>
            <w:vAlign w:val="bottom"/>
          </w:tcPr>
          <w:p w14:paraId="1EC3F854"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6.698.000</w:t>
            </w:r>
          </w:p>
        </w:tc>
        <w:tc>
          <w:tcPr>
            <w:tcW w:w="1520" w:type="dxa"/>
            <w:shd w:val="clear" w:color="auto" w:fill="FFFFFF"/>
            <w:vAlign w:val="bottom"/>
          </w:tcPr>
          <w:p w14:paraId="5F1A7FD0"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w:t>
            </w:r>
          </w:p>
        </w:tc>
        <w:tc>
          <w:tcPr>
            <w:tcW w:w="1392" w:type="dxa"/>
            <w:shd w:val="clear" w:color="auto" w:fill="FFFFFF"/>
            <w:vAlign w:val="bottom"/>
          </w:tcPr>
          <w:p w14:paraId="16A62B7A"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51,00</w:t>
            </w:r>
          </w:p>
        </w:tc>
        <w:tc>
          <w:tcPr>
            <w:tcW w:w="1457" w:type="dxa"/>
            <w:shd w:val="clear" w:color="auto" w:fill="FFFFFF"/>
            <w:vAlign w:val="bottom"/>
          </w:tcPr>
          <w:p w14:paraId="7FDEA3C9"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17,00</w:t>
            </w:r>
          </w:p>
        </w:tc>
      </w:tr>
      <w:tr w:rsidR="00200682" w:rsidRPr="003234C5" w14:paraId="4966B27D" w14:textId="77777777" w:rsidTr="0084570A">
        <w:trPr>
          <w:trHeight w:val="284"/>
          <w:jc w:val="center"/>
        </w:trPr>
        <w:tc>
          <w:tcPr>
            <w:tcW w:w="3256" w:type="dxa"/>
            <w:shd w:val="clear" w:color="auto" w:fill="FFFFFF"/>
            <w:vAlign w:val="bottom"/>
          </w:tcPr>
          <w:p w14:paraId="3F1A5613" w14:textId="77777777" w:rsidR="00200682" w:rsidRPr="003234C5" w:rsidRDefault="00200682" w:rsidP="00E84342">
            <w:pPr>
              <w:spacing w:after="0"/>
              <w:jc w:val="both"/>
              <w:rPr>
                <w:rFonts w:ascii="Arial" w:hAnsi="Arial" w:cs="Arial"/>
                <w:bCs/>
                <w:sz w:val="20"/>
                <w:szCs w:val="20"/>
              </w:rPr>
            </w:pPr>
            <w:r w:rsidRPr="003234C5">
              <w:rPr>
                <w:rFonts w:ascii="Arial" w:hAnsi="Arial" w:cs="Arial"/>
                <w:bCs/>
                <w:sz w:val="20"/>
                <w:szCs w:val="20"/>
              </w:rPr>
              <w:t>Petrobras Gás S/A – GASPETRO</w:t>
            </w:r>
          </w:p>
        </w:tc>
        <w:tc>
          <w:tcPr>
            <w:tcW w:w="1456" w:type="dxa"/>
            <w:shd w:val="clear" w:color="auto" w:fill="FFFFFF"/>
            <w:vAlign w:val="bottom"/>
          </w:tcPr>
          <w:p w14:paraId="7064F9A8"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3.217.667</w:t>
            </w:r>
          </w:p>
        </w:tc>
        <w:tc>
          <w:tcPr>
            <w:tcW w:w="1520" w:type="dxa"/>
            <w:shd w:val="clear" w:color="auto" w:fill="FFFFFF"/>
            <w:vAlign w:val="bottom"/>
          </w:tcPr>
          <w:p w14:paraId="6CCA8B4E"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13.133.333</w:t>
            </w:r>
          </w:p>
        </w:tc>
        <w:tc>
          <w:tcPr>
            <w:tcW w:w="1392" w:type="dxa"/>
            <w:shd w:val="clear" w:color="auto" w:fill="FFFFFF"/>
            <w:vAlign w:val="bottom"/>
          </w:tcPr>
          <w:p w14:paraId="314F111E"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24,50</w:t>
            </w:r>
          </w:p>
        </w:tc>
        <w:tc>
          <w:tcPr>
            <w:tcW w:w="1457" w:type="dxa"/>
            <w:shd w:val="clear" w:color="auto" w:fill="FFFFFF"/>
            <w:vAlign w:val="bottom"/>
          </w:tcPr>
          <w:p w14:paraId="41508763"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41,50</w:t>
            </w:r>
          </w:p>
        </w:tc>
      </w:tr>
      <w:tr w:rsidR="00200682" w:rsidRPr="003234C5" w14:paraId="25A95538" w14:textId="77777777" w:rsidTr="0084570A">
        <w:trPr>
          <w:trHeight w:val="284"/>
          <w:jc w:val="center"/>
        </w:trPr>
        <w:tc>
          <w:tcPr>
            <w:tcW w:w="3256" w:type="dxa"/>
            <w:shd w:val="clear" w:color="auto" w:fill="FFFFFF"/>
            <w:vAlign w:val="bottom"/>
          </w:tcPr>
          <w:p w14:paraId="03DA30DE" w14:textId="77777777" w:rsidR="00200682" w:rsidRPr="003234C5" w:rsidRDefault="00200682" w:rsidP="00E84342">
            <w:pPr>
              <w:spacing w:after="0"/>
              <w:jc w:val="both"/>
              <w:rPr>
                <w:rFonts w:ascii="Arial" w:hAnsi="Arial" w:cs="Arial"/>
                <w:bCs/>
                <w:sz w:val="20"/>
                <w:szCs w:val="20"/>
              </w:rPr>
            </w:pPr>
            <w:r w:rsidRPr="003234C5">
              <w:rPr>
                <w:rFonts w:ascii="Arial" w:hAnsi="Arial" w:cs="Arial"/>
                <w:bCs/>
                <w:sz w:val="20"/>
                <w:szCs w:val="20"/>
              </w:rPr>
              <w:t>Mitsui Gás e Energia Ltda.</w:t>
            </w:r>
          </w:p>
        </w:tc>
        <w:tc>
          <w:tcPr>
            <w:tcW w:w="1456" w:type="dxa"/>
            <w:shd w:val="clear" w:color="auto" w:fill="FFFFFF"/>
            <w:vAlign w:val="bottom"/>
          </w:tcPr>
          <w:p w14:paraId="649164C0"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3.217.667</w:t>
            </w:r>
          </w:p>
        </w:tc>
        <w:tc>
          <w:tcPr>
            <w:tcW w:w="1520" w:type="dxa"/>
            <w:shd w:val="clear" w:color="auto" w:fill="FFFFFF"/>
            <w:vAlign w:val="bottom"/>
          </w:tcPr>
          <w:p w14:paraId="38D30B1E"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13.133.333</w:t>
            </w:r>
          </w:p>
        </w:tc>
        <w:tc>
          <w:tcPr>
            <w:tcW w:w="1392" w:type="dxa"/>
            <w:shd w:val="clear" w:color="auto" w:fill="FFFFFF"/>
            <w:vAlign w:val="bottom"/>
          </w:tcPr>
          <w:p w14:paraId="135E50EC"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24,50</w:t>
            </w:r>
          </w:p>
        </w:tc>
        <w:tc>
          <w:tcPr>
            <w:tcW w:w="1457" w:type="dxa"/>
            <w:shd w:val="clear" w:color="auto" w:fill="FFFFFF"/>
            <w:vAlign w:val="bottom"/>
          </w:tcPr>
          <w:p w14:paraId="24532B1A" w14:textId="77777777" w:rsidR="00200682" w:rsidRPr="003234C5" w:rsidRDefault="00200682" w:rsidP="00E84342">
            <w:pPr>
              <w:spacing w:after="0"/>
              <w:jc w:val="right"/>
              <w:rPr>
                <w:rFonts w:ascii="Arial" w:hAnsi="Arial" w:cs="Arial"/>
                <w:sz w:val="20"/>
                <w:szCs w:val="20"/>
              </w:rPr>
            </w:pPr>
            <w:r w:rsidRPr="003234C5">
              <w:rPr>
                <w:rFonts w:ascii="Arial" w:hAnsi="Arial" w:cs="Arial"/>
                <w:sz w:val="20"/>
                <w:szCs w:val="20"/>
              </w:rPr>
              <w:t>41,50</w:t>
            </w:r>
          </w:p>
        </w:tc>
      </w:tr>
      <w:tr w:rsidR="00200682" w:rsidRPr="003234C5" w14:paraId="711C7A6D" w14:textId="77777777" w:rsidTr="0084570A">
        <w:trPr>
          <w:trHeight w:val="284"/>
          <w:jc w:val="center"/>
        </w:trPr>
        <w:tc>
          <w:tcPr>
            <w:tcW w:w="3256" w:type="dxa"/>
            <w:shd w:val="clear" w:color="auto" w:fill="C0C0C0"/>
            <w:vAlign w:val="bottom"/>
          </w:tcPr>
          <w:p w14:paraId="6C3717D6" w14:textId="77777777" w:rsidR="00200682" w:rsidRPr="003234C5" w:rsidRDefault="00200682" w:rsidP="00E84342">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TOTAIS</w:t>
            </w:r>
          </w:p>
        </w:tc>
        <w:tc>
          <w:tcPr>
            <w:tcW w:w="1456" w:type="dxa"/>
            <w:shd w:val="clear" w:color="auto" w:fill="C0C0C0"/>
            <w:vAlign w:val="bottom"/>
          </w:tcPr>
          <w:p w14:paraId="189A6C6C" w14:textId="77777777" w:rsidR="00200682" w:rsidRPr="003234C5" w:rsidRDefault="00200682" w:rsidP="00E84342">
            <w:pPr>
              <w:spacing w:after="0"/>
              <w:jc w:val="right"/>
              <w:rPr>
                <w:rFonts w:ascii="Arial" w:hAnsi="Arial" w:cs="Arial"/>
                <w:b/>
                <w:sz w:val="20"/>
                <w:szCs w:val="20"/>
              </w:rPr>
            </w:pPr>
            <w:r w:rsidRPr="003234C5">
              <w:rPr>
                <w:rFonts w:ascii="Arial" w:hAnsi="Arial" w:cs="Arial"/>
                <w:b/>
                <w:sz w:val="20"/>
                <w:szCs w:val="20"/>
              </w:rPr>
              <w:t>13.133.334</w:t>
            </w:r>
          </w:p>
        </w:tc>
        <w:tc>
          <w:tcPr>
            <w:tcW w:w="1520" w:type="dxa"/>
            <w:shd w:val="clear" w:color="auto" w:fill="C0C0C0"/>
            <w:vAlign w:val="bottom"/>
          </w:tcPr>
          <w:p w14:paraId="773E327D" w14:textId="77777777" w:rsidR="00200682" w:rsidRPr="003234C5" w:rsidRDefault="00200682" w:rsidP="00E84342">
            <w:pPr>
              <w:spacing w:after="0"/>
              <w:jc w:val="right"/>
              <w:rPr>
                <w:rFonts w:ascii="Arial" w:hAnsi="Arial" w:cs="Arial"/>
                <w:b/>
                <w:sz w:val="20"/>
                <w:szCs w:val="20"/>
              </w:rPr>
            </w:pPr>
            <w:r w:rsidRPr="003234C5">
              <w:rPr>
                <w:rFonts w:ascii="Arial" w:hAnsi="Arial" w:cs="Arial"/>
                <w:b/>
                <w:sz w:val="20"/>
                <w:szCs w:val="20"/>
              </w:rPr>
              <w:t>26.266.666</w:t>
            </w:r>
          </w:p>
        </w:tc>
        <w:tc>
          <w:tcPr>
            <w:tcW w:w="1392" w:type="dxa"/>
            <w:shd w:val="clear" w:color="auto" w:fill="C0C0C0"/>
            <w:vAlign w:val="bottom"/>
          </w:tcPr>
          <w:p w14:paraId="2823DBA6" w14:textId="77777777" w:rsidR="00200682" w:rsidRPr="003234C5" w:rsidRDefault="00200682" w:rsidP="00E84342">
            <w:pPr>
              <w:spacing w:after="0"/>
              <w:jc w:val="right"/>
              <w:rPr>
                <w:rFonts w:ascii="Arial" w:hAnsi="Arial" w:cs="Arial"/>
                <w:b/>
                <w:sz w:val="20"/>
                <w:szCs w:val="20"/>
              </w:rPr>
            </w:pPr>
            <w:r w:rsidRPr="003234C5">
              <w:rPr>
                <w:rFonts w:ascii="Arial" w:hAnsi="Arial" w:cs="Arial"/>
                <w:b/>
                <w:sz w:val="20"/>
                <w:szCs w:val="20"/>
              </w:rPr>
              <w:t>100,00</w:t>
            </w:r>
          </w:p>
        </w:tc>
        <w:tc>
          <w:tcPr>
            <w:tcW w:w="1457" w:type="dxa"/>
            <w:shd w:val="clear" w:color="auto" w:fill="C0C0C0"/>
            <w:vAlign w:val="bottom"/>
          </w:tcPr>
          <w:p w14:paraId="02AE3B10" w14:textId="77777777" w:rsidR="00200682" w:rsidRPr="003234C5" w:rsidRDefault="00200682" w:rsidP="00E84342">
            <w:pPr>
              <w:spacing w:after="0"/>
              <w:jc w:val="right"/>
              <w:rPr>
                <w:rFonts w:ascii="Arial" w:hAnsi="Arial" w:cs="Arial"/>
                <w:b/>
                <w:sz w:val="20"/>
                <w:szCs w:val="20"/>
              </w:rPr>
            </w:pPr>
            <w:r w:rsidRPr="003234C5">
              <w:rPr>
                <w:rFonts w:ascii="Arial" w:hAnsi="Arial" w:cs="Arial"/>
                <w:b/>
                <w:sz w:val="20"/>
                <w:szCs w:val="20"/>
              </w:rPr>
              <w:t>100,00</w:t>
            </w:r>
          </w:p>
        </w:tc>
      </w:tr>
    </w:tbl>
    <w:p w14:paraId="5376AC81" w14:textId="77777777" w:rsidR="00E70F9A" w:rsidRDefault="00E70F9A" w:rsidP="00200682">
      <w:pPr>
        <w:autoSpaceDE w:val="0"/>
        <w:autoSpaceDN w:val="0"/>
        <w:adjustRightInd w:val="0"/>
        <w:jc w:val="both"/>
        <w:rPr>
          <w:rFonts w:ascii="Arial" w:hAnsi="Arial" w:cs="Arial"/>
        </w:rPr>
      </w:pPr>
    </w:p>
    <w:p w14:paraId="262DC235" w14:textId="3F2D99EB" w:rsidR="00200682" w:rsidRPr="003234C5" w:rsidRDefault="00200682" w:rsidP="00200682">
      <w:pPr>
        <w:autoSpaceDE w:val="0"/>
        <w:autoSpaceDN w:val="0"/>
        <w:adjustRightInd w:val="0"/>
        <w:jc w:val="both"/>
        <w:rPr>
          <w:rFonts w:ascii="Arial" w:hAnsi="Arial" w:cs="Arial"/>
        </w:rPr>
      </w:pPr>
      <w:r w:rsidRPr="003234C5">
        <w:rPr>
          <w:rFonts w:ascii="Arial" w:hAnsi="Arial" w:cs="Arial"/>
        </w:rPr>
        <w:t>As ações preferenciais são nominativas, não possuem valor nominal, não têm direito a voto e gozam da prioridade no recebimento de dividendo mínimo obrigatório e no reembolso do capital em caso de liquidação da Companhia.</w:t>
      </w:r>
    </w:p>
    <w:p w14:paraId="404505F7" w14:textId="30F82FE5" w:rsidR="008D69B9" w:rsidRPr="003A08FD" w:rsidRDefault="00B07209" w:rsidP="00200682">
      <w:pPr>
        <w:autoSpaceDE w:val="0"/>
        <w:autoSpaceDN w:val="0"/>
        <w:adjustRightInd w:val="0"/>
        <w:jc w:val="both"/>
        <w:rPr>
          <w:rFonts w:ascii="Arial" w:hAnsi="Arial" w:cs="Arial"/>
        </w:rPr>
      </w:pPr>
      <w:r w:rsidRPr="003234C5">
        <w:rPr>
          <w:rFonts w:ascii="Arial" w:hAnsi="Arial" w:cs="Arial"/>
        </w:rPr>
        <w:t>A</w:t>
      </w:r>
      <w:r w:rsidR="002117E3" w:rsidRPr="003234C5">
        <w:rPr>
          <w:rFonts w:ascii="Arial" w:hAnsi="Arial" w:cs="Arial"/>
        </w:rPr>
        <w:t xml:space="preserve"> </w:t>
      </w:r>
      <w:r w:rsidRPr="003234C5">
        <w:rPr>
          <w:rFonts w:ascii="Arial" w:hAnsi="Arial" w:cs="Arial"/>
        </w:rPr>
        <w:t>Assembleia</w:t>
      </w:r>
      <w:r w:rsidR="00200682" w:rsidRPr="003234C5">
        <w:rPr>
          <w:rFonts w:ascii="Arial" w:hAnsi="Arial" w:cs="Arial"/>
        </w:rPr>
        <w:t xml:space="preserve"> Geral Extraordinária realizada em </w:t>
      </w:r>
      <w:r w:rsidR="002444F4" w:rsidRPr="003234C5">
        <w:rPr>
          <w:rFonts w:ascii="Arial" w:hAnsi="Arial" w:cs="Arial"/>
        </w:rPr>
        <w:t>29 de agosto de 2019</w:t>
      </w:r>
      <w:r w:rsidR="00200682" w:rsidRPr="003234C5">
        <w:rPr>
          <w:rFonts w:ascii="Arial" w:hAnsi="Arial" w:cs="Arial"/>
          <w:color w:val="FF0000"/>
        </w:rPr>
        <w:t xml:space="preserve"> </w:t>
      </w:r>
      <w:r w:rsidR="00200682" w:rsidRPr="003234C5">
        <w:rPr>
          <w:rFonts w:ascii="Arial" w:hAnsi="Arial" w:cs="Arial"/>
        </w:rPr>
        <w:t>aprovou o aumento de capital, com a incorporação de reserva de incentivos fiscais, no montante de R$ 11.</w:t>
      </w:r>
      <w:r w:rsidR="002444F4" w:rsidRPr="003234C5">
        <w:rPr>
          <w:rFonts w:ascii="Arial" w:hAnsi="Arial" w:cs="Arial"/>
        </w:rPr>
        <w:t>185</w:t>
      </w:r>
      <w:r w:rsidR="008D69B9">
        <w:rPr>
          <w:rFonts w:ascii="Arial" w:hAnsi="Arial" w:cs="Arial"/>
        </w:rPr>
        <w:t>,</w:t>
      </w:r>
      <w:r w:rsidR="00200682" w:rsidRPr="003234C5">
        <w:rPr>
          <w:rFonts w:ascii="Arial" w:hAnsi="Arial" w:cs="Arial"/>
        </w:rPr>
        <w:t xml:space="preserve"> sem modificação da quantidade de ações existentes.</w:t>
      </w:r>
      <w:r w:rsidR="008D69B9">
        <w:rPr>
          <w:rFonts w:ascii="Arial" w:hAnsi="Arial" w:cs="Arial"/>
        </w:rPr>
        <w:t xml:space="preserve"> Deste montante, R$ 443 </w:t>
      </w:r>
      <w:r w:rsidR="00947EB9">
        <w:rPr>
          <w:rFonts w:ascii="Arial" w:hAnsi="Arial" w:cs="Arial"/>
        </w:rPr>
        <w:t xml:space="preserve">são </w:t>
      </w:r>
      <w:r w:rsidR="008D69B9">
        <w:rPr>
          <w:rFonts w:ascii="Arial" w:hAnsi="Arial" w:cs="Arial"/>
        </w:rPr>
        <w:t>oriundos do Reinvestimento e R$ 10.742 em decorrência do Lucro da Exploração.</w:t>
      </w:r>
      <w:r w:rsidR="00200682" w:rsidRPr="003234C5">
        <w:rPr>
          <w:rFonts w:ascii="Arial" w:hAnsi="Arial" w:cs="Arial"/>
        </w:rPr>
        <w:t xml:space="preserve"> </w:t>
      </w:r>
      <w:r w:rsidR="00200682" w:rsidRPr="00E57C10">
        <w:rPr>
          <w:rFonts w:ascii="Arial" w:hAnsi="Arial" w:cs="Arial"/>
        </w:rPr>
        <w:t>A participação de cada sócio</w:t>
      </w:r>
      <w:r w:rsidR="008D69B9" w:rsidRPr="00E57C10">
        <w:rPr>
          <w:rFonts w:ascii="Arial" w:hAnsi="Arial" w:cs="Arial"/>
        </w:rPr>
        <w:t xml:space="preserve"> em </w:t>
      </w:r>
      <w:r w:rsidR="000806D2" w:rsidRPr="00E57C10">
        <w:rPr>
          <w:rFonts w:ascii="Arial" w:hAnsi="Arial" w:cs="Arial"/>
        </w:rPr>
        <w:t>31</w:t>
      </w:r>
      <w:r w:rsidR="008D69B9" w:rsidRPr="00E57C10">
        <w:rPr>
          <w:rFonts w:ascii="Arial" w:hAnsi="Arial" w:cs="Arial"/>
        </w:rPr>
        <w:t xml:space="preserve"> de </w:t>
      </w:r>
      <w:r w:rsidR="000806D2" w:rsidRPr="00E57C10">
        <w:rPr>
          <w:rFonts w:ascii="Arial" w:hAnsi="Arial" w:cs="Arial"/>
        </w:rPr>
        <w:t>dezembro</w:t>
      </w:r>
      <w:r w:rsidR="008D69B9" w:rsidRPr="00E57C10">
        <w:rPr>
          <w:rFonts w:ascii="Arial" w:hAnsi="Arial" w:cs="Arial"/>
        </w:rPr>
        <w:t xml:space="preserve"> de 2019 </w:t>
      </w:r>
      <w:r w:rsidR="00200682" w:rsidRPr="00E57C10">
        <w:rPr>
          <w:rFonts w:ascii="Arial" w:hAnsi="Arial" w:cs="Arial"/>
        </w:rPr>
        <w:t>está demonstrada na tabela abaixo</w:t>
      </w:r>
      <w:r w:rsidR="00461EA4" w:rsidRPr="00E57C10">
        <w:rPr>
          <w:rFonts w:ascii="Arial" w:hAnsi="Arial" w:cs="Arial"/>
        </w:rPr>
        <w:t>:</w:t>
      </w:r>
    </w:p>
    <w:tbl>
      <w:tblPr>
        <w:tblW w:w="9077" w:type="dxa"/>
        <w:jc w:val="center"/>
        <w:tblLayout w:type="fixed"/>
        <w:tblCellMar>
          <w:left w:w="70" w:type="dxa"/>
          <w:right w:w="70" w:type="dxa"/>
        </w:tblCellMar>
        <w:tblLook w:val="04A0" w:firstRow="1" w:lastRow="0" w:firstColumn="1" w:lastColumn="0" w:noHBand="0" w:noVBand="1"/>
      </w:tblPr>
      <w:tblGrid>
        <w:gridCol w:w="3266"/>
        <w:gridCol w:w="1133"/>
        <w:gridCol w:w="1559"/>
        <w:gridCol w:w="1559"/>
        <w:gridCol w:w="1560"/>
      </w:tblGrid>
      <w:tr w:rsidR="00200682" w:rsidRPr="003234C5" w14:paraId="7BB12C67" w14:textId="77777777" w:rsidTr="00E84342">
        <w:trPr>
          <w:trHeight w:val="464"/>
          <w:jc w:val="center"/>
        </w:trPr>
        <w:tc>
          <w:tcPr>
            <w:tcW w:w="3266"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5ED9228" w14:textId="77777777" w:rsidR="00200682" w:rsidRPr="003234C5" w:rsidRDefault="00200682" w:rsidP="00E84342">
            <w:pPr>
              <w:spacing w:after="0"/>
              <w:rPr>
                <w:rFonts w:ascii="Arial" w:hAnsi="Arial" w:cs="Arial"/>
                <w:b/>
                <w:bCs/>
                <w:sz w:val="20"/>
                <w:szCs w:val="20"/>
              </w:rPr>
            </w:pPr>
            <w:r w:rsidRPr="003234C5">
              <w:rPr>
                <w:rFonts w:ascii="Arial" w:hAnsi="Arial" w:cs="Arial"/>
                <w:b/>
                <w:bCs/>
                <w:sz w:val="20"/>
                <w:szCs w:val="20"/>
              </w:rPr>
              <w:t>ACIONISTAS</w:t>
            </w:r>
          </w:p>
        </w:tc>
        <w:tc>
          <w:tcPr>
            <w:tcW w:w="1133"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60CB7F7" w14:textId="77777777" w:rsidR="00200682" w:rsidRPr="003234C5" w:rsidRDefault="00200682" w:rsidP="00E84342">
            <w:pPr>
              <w:spacing w:after="0"/>
              <w:jc w:val="center"/>
              <w:rPr>
                <w:rFonts w:ascii="Arial" w:hAnsi="Arial" w:cs="Arial"/>
                <w:b/>
                <w:bCs/>
                <w:sz w:val="20"/>
                <w:szCs w:val="20"/>
              </w:rPr>
            </w:pPr>
            <w:r w:rsidRPr="003234C5">
              <w:rPr>
                <w:rFonts w:ascii="Arial" w:hAnsi="Arial" w:cs="Arial"/>
                <w:b/>
                <w:bCs/>
                <w:sz w:val="20"/>
                <w:szCs w:val="20"/>
              </w:rPr>
              <w:t>% Total de Ações</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0FA3162" w14:textId="77777777" w:rsidR="00200682" w:rsidRPr="003234C5" w:rsidRDefault="00200682" w:rsidP="00E84342">
            <w:pPr>
              <w:spacing w:after="0"/>
              <w:jc w:val="center"/>
              <w:rPr>
                <w:rFonts w:ascii="Arial" w:hAnsi="Arial" w:cs="Arial"/>
                <w:b/>
                <w:bCs/>
                <w:sz w:val="20"/>
                <w:szCs w:val="20"/>
              </w:rPr>
            </w:pPr>
            <w:proofErr w:type="spellStart"/>
            <w:r w:rsidRPr="003234C5">
              <w:rPr>
                <w:rFonts w:ascii="Arial" w:hAnsi="Arial" w:cs="Arial"/>
                <w:b/>
                <w:bCs/>
                <w:sz w:val="20"/>
                <w:szCs w:val="20"/>
              </w:rPr>
              <w:t>Vr</w:t>
            </w:r>
            <w:proofErr w:type="spellEnd"/>
            <w:r w:rsidRPr="003234C5">
              <w:rPr>
                <w:rFonts w:ascii="Arial" w:hAnsi="Arial" w:cs="Arial"/>
                <w:b/>
                <w:bCs/>
                <w:sz w:val="20"/>
                <w:szCs w:val="20"/>
              </w:rPr>
              <w:t>. Das Ações Ordinárias</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9454E5A" w14:textId="7A3AD686" w:rsidR="00200682" w:rsidRPr="003234C5" w:rsidRDefault="00200682" w:rsidP="00E84342">
            <w:pPr>
              <w:spacing w:after="0"/>
              <w:jc w:val="center"/>
              <w:rPr>
                <w:rFonts w:ascii="Arial" w:hAnsi="Arial" w:cs="Arial"/>
                <w:b/>
                <w:bCs/>
                <w:sz w:val="20"/>
                <w:szCs w:val="20"/>
              </w:rPr>
            </w:pPr>
            <w:proofErr w:type="spellStart"/>
            <w:r w:rsidRPr="003234C5">
              <w:rPr>
                <w:rFonts w:ascii="Arial" w:hAnsi="Arial" w:cs="Arial"/>
                <w:b/>
                <w:bCs/>
                <w:sz w:val="20"/>
                <w:szCs w:val="20"/>
              </w:rPr>
              <w:t>Vr</w:t>
            </w:r>
            <w:proofErr w:type="spellEnd"/>
            <w:r w:rsidR="00A067B9" w:rsidRPr="003234C5">
              <w:rPr>
                <w:rFonts w:ascii="Arial" w:hAnsi="Arial" w:cs="Arial"/>
                <w:b/>
                <w:bCs/>
                <w:sz w:val="20"/>
                <w:szCs w:val="20"/>
              </w:rPr>
              <w:t>.</w:t>
            </w:r>
            <w:r w:rsidRPr="003234C5">
              <w:rPr>
                <w:rFonts w:ascii="Arial" w:hAnsi="Arial" w:cs="Arial"/>
                <w:b/>
                <w:bCs/>
                <w:sz w:val="20"/>
                <w:szCs w:val="20"/>
              </w:rPr>
              <w:t xml:space="preserve"> das Ações Preferenciais</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42DB8CB1" w14:textId="3E44C5EB" w:rsidR="00200682" w:rsidRPr="003234C5" w:rsidRDefault="00200682" w:rsidP="00E84342">
            <w:pPr>
              <w:spacing w:after="0"/>
              <w:jc w:val="center"/>
              <w:rPr>
                <w:rFonts w:ascii="Arial" w:hAnsi="Arial" w:cs="Arial"/>
                <w:b/>
                <w:bCs/>
                <w:sz w:val="20"/>
                <w:szCs w:val="20"/>
              </w:rPr>
            </w:pPr>
            <w:proofErr w:type="spellStart"/>
            <w:r w:rsidRPr="003234C5">
              <w:rPr>
                <w:rFonts w:ascii="Arial" w:hAnsi="Arial" w:cs="Arial"/>
                <w:b/>
                <w:bCs/>
                <w:sz w:val="20"/>
                <w:szCs w:val="20"/>
              </w:rPr>
              <w:t>Vr</w:t>
            </w:r>
            <w:proofErr w:type="spellEnd"/>
            <w:r w:rsidR="00A067B9" w:rsidRPr="003234C5">
              <w:rPr>
                <w:rFonts w:ascii="Arial" w:hAnsi="Arial" w:cs="Arial"/>
                <w:b/>
                <w:bCs/>
                <w:sz w:val="20"/>
                <w:szCs w:val="20"/>
              </w:rPr>
              <w:t>.</w:t>
            </w:r>
            <w:r w:rsidRPr="003234C5">
              <w:rPr>
                <w:rFonts w:ascii="Arial" w:hAnsi="Arial" w:cs="Arial"/>
                <w:b/>
                <w:bCs/>
                <w:sz w:val="20"/>
                <w:szCs w:val="20"/>
              </w:rPr>
              <w:t xml:space="preserve"> Total</w:t>
            </w:r>
          </w:p>
        </w:tc>
      </w:tr>
      <w:tr w:rsidR="00200682" w:rsidRPr="003234C5" w14:paraId="38AD8753" w14:textId="77777777" w:rsidTr="00E84342">
        <w:trPr>
          <w:trHeight w:val="450"/>
          <w:jc w:val="center"/>
        </w:trPr>
        <w:tc>
          <w:tcPr>
            <w:tcW w:w="3266" w:type="dxa"/>
            <w:vMerge/>
            <w:tcBorders>
              <w:top w:val="single" w:sz="4" w:space="0" w:color="auto"/>
              <w:left w:val="single" w:sz="4" w:space="0" w:color="auto"/>
              <w:bottom w:val="single" w:sz="4" w:space="0" w:color="auto"/>
              <w:right w:val="single" w:sz="4" w:space="0" w:color="auto"/>
            </w:tcBorders>
            <w:vAlign w:val="center"/>
            <w:hideMark/>
          </w:tcPr>
          <w:p w14:paraId="57015DE8" w14:textId="77777777" w:rsidR="00200682" w:rsidRPr="003234C5" w:rsidRDefault="00200682" w:rsidP="00E84342">
            <w:pPr>
              <w:spacing w:after="0"/>
              <w:rPr>
                <w:rFonts w:ascii="Arial" w:hAnsi="Arial" w:cs="Arial"/>
                <w:b/>
                <w:bCs/>
                <w:sz w:val="20"/>
                <w:szCs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6A7C7C19" w14:textId="77777777" w:rsidR="00200682" w:rsidRPr="003234C5" w:rsidRDefault="00200682" w:rsidP="00E84342">
            <w:pPr>
              <w:spacing w:after="0"/>
              <w:rPr>
                <w:rFonts w:ascii="Arial" w:hAnsi="Arial" w:cs="Arial"/>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4B1BDB9" w14:textId="77777777" w:rsidR="00200682" w:rsidRPr="003234C5" w:rsidRDefault="00200682" w:rsidP="00E84342">
            <w:pPr>
              <w:spacing w:after="0"/>
              <w:rPr>
                <w:rFonts w:ascii="Arial" w:hAnsi="Arial" w:cs="Arial"/>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1C83899" w14:textId="77777777" w:rsidR="00200682" w:rsidRPr="003234C5" w:rsidRDefault="00200682" w:rsidP="00E84342">
            <w:pPr>
              <w:spacing w:after="0"/>
              <w:rPr>
                <w:rFonts w:ascii="Arial" w:hAnsi="Arial" w:cs="Arial"/>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302FFB" w14:textId="77777777" w:rsidR="00200682" w:rsidRPr="003234C5" w:rsidRDefault="00200682" w:rsidP="00E84342">
            <w:pPr>
              <w:spacing w:after="0"/>
              <w:rPr>
                <w:rFonts w:ascii="Arial" w:hAnsi="Arial" w:cs="Arial"/>
                <w:b/>
                <w:bCs/>
                <w:sz w:val="20"/>
                <w:szCs w:val="20"/>
              </w:rPr>
            </w:pPr>
          </w:p>
        </w:tc>
      </w:tr>
      <w:tr w:rsidR="002F280D" w:rsidRPr="003234C5" w14:paraId="6669AD79" w14:textId="77777777" w:rsidTr="002F280D">
        <w:trPr>
          <w:trHeight w:val="255"/>
          <w:jc w:val="center"/>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742D5E81" w14:textId="77777777" w:rsidR="002F280D" w:rsidRPr="003234C5" w:rsidRDefault="002F280D" w:rsidP="002F280D">
            <w:pPr>
              <w:spacing w:after="0"/>
              <w:jc w:val="both"/>
              <w:rPr>
                <w:rFonts w:ascii="Arial" w:hAnsi="Arial" w:cs="Arial"/>
                <w:bCs/>
                <w:sz w:val="20"/>
                <w:szCs w:val="20"/>
              </w:rPr>
            </w:pPr>
            <w:r w:rsidRPr="003234C5">
              <w:rPr>
                <w:rFonts w:ascii="Arial" w:hAnsi="Arial" w:cs="Arial"/>
                <w:bCs/>
                <w:sz w:val="20"/>
                <w:szCs w:val="20"/>
              </w:rPr>
              <w:t>Estado do Ceará</w:t>
            </w:r>
          </w:p>
        </w:tc>
        <w:tc>
          <w:tcPr>
            <w:tcW w:w="1133" w:type="dxa"/>
            <w:tcBorders>
              <w:top w:val="nil"/>
              <w:left w:val="nil"/>
              <w:bottom w:val="single" w:sz="4" w:space="0" w:color="auto"/>
              <w:right w:val="single" w:sz="4" w:space="0" w:color="auto"/>
            </w:tcBorders>
            <w:shd w:val="clear" w:color="auto" w:fill="auto"/>
            <w:noWrap/>
            <w:vAlign w:val="bottom"/>
            <w:hideMark/>
          </w:tcPr>
          <w:p w14:paraId="0B8F7586" w14:textId="77777777" w:rsidR="002F280D" w:rsidRPr="003234C5" w:rsidRDefault="002F280D" w:rsidP="002F280D">
            <w:pPr>
              <w:spacing w:after="0"/>
              <w:jc w:val="center"/>
              <w:rPr>
                <w:rFonts w:ascii="Arial" w:hAnsi="Arial" w:cs="Arial"/>
                <w:sz w:val="20"/>
                <w:szCs w:val="20"/>
              </w:rPr>
            </w:pPr>
            <w:r w:rsidRPr="003234C5">
              <w:rPr>
                <w:rFonts w:ascii="Arial" w:hAnsi="Arial" w:cs="Arial"/>
                <w:sz w:val="20"/>
                <w:szCs w:val="20"/>
              </w:rPr>
              <w:t>17,00</w:t>
            </w:r>
          </w:p>
        </w:tc>
        <w:tc>
          <w:tcPr>
            <w:tcW w:w="1559" w:type="dxa"/>
            <w:tcBorders>
              <w:top w:val="nil"/>
              <w:left w:val="nil"/>
              <w:bottom w:val="single" w:sz="4" w:space="0" w:color="auto"/>
              <w:right w:val="single" w:sz="4" w:space="0" w:color="auto"/>
            </w:tcBorders>
            <w:shd w:val="clear" w:color="auto" w:fill="auto"/>
            <w:noWrap/>
            <w:vAlign w:val="center"/>
          </w:tcPr>
          <w:p w14:paraId="199C567F" w14:textId="361B5272" w:rsidR="002F280D" w:rsidRPr="003234C5" w:rsidRDefault="002F280D" w:rsidP="002F280D">
            <w:pPr>
              <w:spacing w:after="0"/>
              <w:jc w:val="right"/>
              <w:rPr>
                <w:rFonts w:ascii="Arial" w:hAnsi="Arial" w:cs="Arial"/>
                <w:sz w:val="20"/>
                <w:szCs w:val="20"/>
              </w:rPr>
            </w:pPr>
            <w:r w:rsidRPr="003234C5">
              <w:rPr>
                <w:rFonts w:ascii="Arial" w:hAnsi="Arial" w:cs="Arial"/>
                <w:color w:val="000000"/>
                <w:sz w:val="20"/>
                <w:szCs w:val="20"/>
              </w:rPr>
              <w:t>2</w:t>
            </w:r>
            <w:r w:rsidR="002444F4" w:rsidRPr="003234C5">
              <w:rPr>
                <w:rFonts w:ascii="Arial" w:hAnsi="Arial" w:cs="Arial"/>
                <w:color w:val="000000"/>
                <w:sz w:val="20"/>
                <w:szCs w:val="20"/>
              </w:rPr>
              <w:t>3.259</w:t>
            </w:r>
          </w:p>
        </w:tc>
        <w:tc>
          <w:tcPr>
            <w:tcW w:w="1559" w:type="dxa"/>
            <w:tcBorders>
              <w:top w:val="nil"/>
              <w:left w:val="nil"/>
              <w:bottom w:val="single" w:sz="4" w:space="0" w:color="auto"/>
              <w:right w:val="single" w:sz="4" w:space="0" w:color="auto"/>
            </w:tcBorders>
            <w:shd w:val="clear" w:color="auto" w:fill="auto"/>
            <w:noWrap/>
            <w:vAlign w:val="center"/>
          </w:tcPr>
          <w:p w14:paraId="1DAEFE2F" w14:textId="3D2209FE" w:rsidR="002F280D" w:rsidRPr="003234C5" w:rsidRDefault="002F280D" w:rsidP="002F280D">
            <w:pPr>
              <w:spacing w:after="0"/>
              <w:jc w:val="right"/>
              <w:rPr>
                <w:rFonts w:ascii="Arial" w:hAnsi="Arial" w:cs="Arial"/>
                <w:sz w:val="20"/>
                <w:szCs w:val="20"/>
              </w:rPr>
            </w:pPr>
            <w:r w:rsidRPr="003234C5">
              <w:rPr>
                <w:rFonts w:ascii="Arial" w:hAnsi="Arial" w:cs="Arial"/>
                <w:color w:val="000000"/>
                <w:sz w:val="20"/>
                <w:szCs w:val="20"/>
              </w:rPr>
              <w:t xml:space="preserve">                        -   </w:t>
            </w:r>
          </w:p>
        </w:tc>
        <w:tc>
          <w:tcPr>
            <w:tcW w:w="1560" w:type="dxa"/>
            <w:tcBorders>
              <w:top w:val="nil"/>
              <w:left w:val="nil"/>
              <w:bottom w:val="single" w:sz="4" w:space="0" w:color="auto"/>
              <w:right w:val="single" w:sz="4" w:space="0" w:color="auto"/>
            </w:tcBorders>
            <w:shd w:val="clear" w:color="auto" w:fill="auto"/>
            <w:noWrap/>
            <w:vAlign w:val="center"/>
          </w:tcPr>
          <w:p w14:paraId="5D5A25D1" w14:textId="3C0EBD0B" w:rsidR="002F280D" w:rsidRPr="003234C5" w:rsidRDefault="002F280D" w:rsidP="002F280D">
            <w:pPr>
              <w:spacing w:after="0"/>
              <w:jc w:val="right"/>
              <w:rPr>
                <w:rFonts w:ascii="Arial" w:hAnsi="Arial" w:cs="Arial"/>
                <w:sz w:val="20"/>
                <w:szCs w:val="20"/>
              </w:rPr>
            </w:pPr>
            <w:r w:rsidRPr="003234C5">
              <w:rPr>
                <w:rFonts w:ascii="Arial" w:hAnsi="Arial" w:cs="Arial"/>
                <w:color w:val="000000"/>
                <w:sz w:val="20"/>
                <w:szCs w:val="20"/>
              </w:rPr>
              <w:t>2</w:t>
            </w:r>
            <w:r w:rsidR="002444F4" w:rsidRPr="003234C5">
              <w:rPr>
                <w:rFonts w:ascii="Arial" w:hAnsi="Arial" w:cs="Arial"/>
                <w:color w:val="000000"/>
                <w:sz w:val="20"/>
                <w:szCs w:val="20"/>
              </w:rPr>
              <w:t>3.259</w:t>
            </w:r>
          </w:p>
        </w:tc>
      </w:tr>
      <w:tr w:rsidR="002F280D" w:rsidRPr="003234C5" w14:paraId="5469F9D4" w14:textId="77777777" w:rsidTr="002F280D">
        <w:trPr>
          <w:trHeight w:val="255"/>
          <w:jc w:val="center"/>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7F30E008" w14:textId="77777777" w:rsidR="002F280D" w:rsidRPr="003234C5" w:rsidRDefault="002F280D" w:rsidP="002F280D">
            <w:pPr>
              <w:spacing w:after="0"/>
              <w:jc w:val="both"/>
              <w:rPr>
                <w:rFonts w:ascii="Arial" w:hAnsi="Arial" w:cs="Arial"/>
                <w:bCs/>
                <w:sz w:val="20"/>
                <w:szCs w:val="20"/>
              </w:rPr>
            </w:pPr>
            <w:r w:rsidRPr="003234C5">
              <w:rPr>
                <w:rFonts w:ascii="Arial" w:hAnsi="Arial" w:cs="Arial"/>
                <w:bCs/>
                <w:sz w:val="20"/>
                <w:szCs w:val="20"/>
              </w:rPr>
              <w:t>Petrobras Gás S/A – GASPETRO</w:t>
            </w:r>
          </w:p>
        </w:tc>
        <w:tc>
          <w:tcPr>
            <w:tcW w:w="1133" w:type="dxa"/>
            <w:tcBorders>
              <w:top w:val="nil"/>
              <w:left w:val="nil"/>
              <w:bottom w:val="single" w:sz="4" w:space="0" w:color="auto"/>
              <w:right w:val="single" w:sz="4" w:space="0" w:color="auto"/>
            </w:tcBorders>
            <w:shd w:val="clear" w:color="auto" w:fill="auto"/>
            <w:noWrap/>
            <w:vAlign w:val="bottom"/>
            <w:hideMark/>
          </w:tcPr>
          <w:p w14:paraId="110F9463" w14:textId="77777777" w:rsidR="002F280D" w:rsidRPr="003234C5" w:rsidRDefault="002F280D" w:rsidP="002F280D">
            <w:pPr>
              <w:spacing w:after="0"/>
              <w:jc w:val="center"/>
              <w:rPr>
                <w:rFonts w:ascii="Arial" w:hAnsi="Arial" w:cs="Arial"/>
                <w:sz w:val="20"/>
                <w:szCs w:val="20"/>
              </w:rPr>
            </w:pPr>
            <w:r w:rsidRPr="003234C5">
              <w:rPr>
                <w:rFonts w:ascii="Arial" w:hAnsi="Arial" w:cs="Arial"/>
                <w:sz w:val="20"/>
                <w:szCs w:val="20"/>
              </w:rPr>
              <w:t>41,50</w:t>
            </w:r>
          </w:p>
        </w:tc>
        <w:tc>
          <w:tcPr>
            <w:tcW w:w="1559" w:type="dxa"/>
            <w:tcBorders>
              <w:top w:val="nil"/>
              <w:left w:val="nil"/>
              <w:bottom w:val="single" w:sz="4" w:space="0" w:color="auto"/>
              <w:right w:val="single" w:sz="4" w:space="0" w:color="auto"/>
            </w:tcBorders>
            <w:shd w:val="clear" w:color="auto" w:fill="auto"/>
            <w:noWrap/>
            <w:vAlign w:val="center"/>
          </w:tcPr>
          <w:p w14:paraId="1DBC48A6" w14:textId="6774DBBA" w:rsidR="002F280D" w:rsidRPr="003234C5" w:rsidRDefault="002444F4" w:rsidP="002F280D">
            <w:pPr>
              <w:spacing w:after="0"/>
              <w:jc w:val="right"/>
              <w:rPr>
                <w:rFonts w:ascii="Arial" w:hAnsi="Arial" w:cs="Arial"/>
                <w:sz w:val="20"/>
                <w:szCs w:val="20"/>
              </w:rPr>
            </w:pPr>
            <w:r w:rsidRPr="003234C5">
              <w:rPr>
                <w:rFonts w:ascii="Arial" w:hAnsi="Arial" w:cs="Arial"/>
                <w:color w:val="000000"/>
                <w:sz w:val="20"/>
                <w:szCs w:val="20"/>
              </w:rPr>
              <w:t>11.173</w:t>
            </w:r>
          </w:p>
        </w:tc>
        <w:tc>
          <w:tcPr>
            <w:tcW w:w="1559" w:type="dxa"/>
            <w:tcBorders>
              <w:top w:val="nil"/>
              <w:left w:val="nil"/>
              <w:bottom w:val="single" w:sz="4" w:space="0" w:color="auto"/>
              <w:right w:val="single" w:sz="4" w:space="0" w:color="auto"/>
            </w:tcBorders>
            <w:shd w:val="clear" w:color="auto" w:fill="auto"/>
            <w:noWrap/>
            <w:vAlign w:val="center"/>
          </w:tcPr>
          <w:p w14:paraId="5B3BC200" w14:textId="25CA22F9" w:rsidR="002F280D" w:rsidRPr="003234C5" w:rsidRDefault="002F280D" w:rsidP="002F280D">
            <w:pPr>
              <w:spacing w:after="0"/>
              <w:jc w:val="right"/>
              <w:rPr>
                <w:rFonts w:ascii="Arial" w:hAnsi="Arial" w:cs="Arial"/>
                <w:sz w:val="20"/>
                <w:szCs w:val="20"/>
              </w:rPr>
            </w:pPr>
            <w:r w:rsidRPr="003234C5">
              <w:rPr>
                <w:rFonts w:ascii="Arial" w:hAnsi="Arial" w:cs="Arial"/>
                <w:color w:val="000000"/>
                <w:sz w:val="20"/>
                <w:szCs w:val="20"/>
              </w:rPr>
              <w:t>4</w:t>
            </w:r>
            <w:r w:rsidR="002444F4" w:rsidRPr="003234C5">
              <w:rPr>
                <w:rFonts w:ascii="Arial" w:hAnsi="Arial" w:cs="Arial"/>
                <w:color w:val="000000"/>
                <w:sz w:val="20"/>
                <w:szCs w:val="20"/>
              </w:rPr>
              <w:t>5.604</w:t>
            </w:r>
          </w:p>
        </w:tc>
        <w:tc>
          <w:tcPr>
            <w:tcW w:w="1560" w:type="dxa"/>
            <w:tcBorders>
              <w:top w:val="nil"/>
              <w:left w:val="nil"/>
              <w:bottom w:val="single" w:sz="4" w:space="0" w:color="auto"/>
              <w:right w:val="single" w:sz="4" w:space="0" w:color="auto"/>
            </w:tcBorders>
            <w:shd w:val="clear" w:color="auto" w:fill="auto"/>
            <w:noWrap/>
            <w:vAlign w:val="center"/>
          </w:tcPr>
          <w:p w14:paraId="1E8E4E99" w14:textId="2B3B6230" w:rsidR="002F280D" w:rsidRPr="003234C5" w:rsidRDefault="002F280D" w:rsidP="002F280D">
            <w:pPr>
              <w:spacing w:after="0"/>
              <w:jc w:val="right"/>
              <w:rPr>
                <w:rFonts w:ascii="Arial" w:hAnsi="Arial" w:cs="Arial"/>
                <w:sz w:val="20"/>
                <w:szCs w:val="20"/>
              </w:rPr>
            </w:pPr>
            <w:r w:rsidRPr="003234C5">
              <w:rPr>
                <w:rFonts w:ascii="Arial" w:hAnsi="Arial" w:cs="Arial"/>
                <w:color w:val="000000"/>
                <w:sz w:val="20"/>
                <w:szCs w:val="20"/>
              </w:rPr>
              <w:t>5</w:t>
            </w:r>
            <w:r w:rsidR="002444F4" w:rsidRPr="003234C5">
              <w:rPr>
                <w:rFonts w:ascii="Arial" w:hAnsi="Arial" w:cs="Arial"/>
                <w:color w:val="000000"/>
                <w:sz w:val="20"/>
                <w:szCs w:val="20"/>
              </w:rPr>
              <w:t>6.777</w:t>
            </w:r>
          </w:p>
        </w:tc>
      </w:tr>
      <w:tr w:rsidR="002F280D" w:rsidRPr="003234C5" w14:paraId="03C867B3" w14:textId="77777777" w:rsidTr="002F280D">
        <w:trPr>
          <w:trHeight w:val="255"/>
          <w:jc w:val="center"/>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14:paraId="00A22757" w14:textId="77777777" w:rsidR="002F280D" w:rsidRPr="003234C5" w:rsidRDefault="002F280D" w:rsidP="002F280D">
            <w:pPr>
              <w:spacing w:after="0"/>
              <w:jc w:val="both"/>
              <w:rPr>
                <w:rFonts w:ascii="Arial" w:hAnsi="Arial" w:cs="Arial"/>
                <w:bCs/>
                <w:sz w:val="20"/>
                <w:szCs w:val="20"/>
              </w:rPr>
            </w:pPr>
            <w:r w:rsidRPr="003234C5">
              <w:rPr>
                <w:rFonts w:ascii="Arial" w:hAnsi="Arial" w:cs="Arial"/>
                <w:bCs/>
                <w:sz w:val="20"/>
                <w:szCs w:val="20"/>
              </w:rPr>
              <w:t>Mitsui Gás e Energia Ltda.</w:t>
            </w:r>
          </w:p>
        </w:tc>
        <w:tc>
          <w:tcPr>
            <w:tcW w:w="1133" w:type="dxa"/>
            <w:tcBorders>
              <w:top w:val="nil"/>
              <w:left w:val="nil"/>
              <w:bottom w:val="single" w:sz="4" w:space="0" w:color="auto"/>
              <w:right w:val="single" w:sz="4" w:space="0" w:color="auto"/>
            </w:tcBorders>
            <w:shd w:val="clear" w:color="auto" w:fill="auto"/>
            <w:noWrap/>
            <w:vAlign w:val="bottom"/>
            <w:hideMark/>
          </w:tcPr>
          <w:p w14:paraId="67CBE89B" w14:textId="77777777" w:rsidR="002F280D" w:rsidRPr="003234C5" w:rsidRDefault="002F280D" w:rsidP="002F280D">
            <w:pPr>
              <w:spacing w:after="0"/>
              <w:jc w:val="center"/>
              <w:rPr>
                <w:rFonts w:ascii="Arial" w:hAnsi="Arial" w:cs="Arial"/>
                <w:sz w:val="20"/>
                <w:szCs w:val="20"/>
              </w:rPr>
            </w:pPr>
            <w:r w:rsidRPr="003234C5">
              <w:rPr>
                <w:rFonts w:ascii="Arial" w:hAnsi="Arial" w:cs="Arial"/>
                <w:sz w:val="20"/>
                <w:szCs w:val="20"/>
              </w:rPr>
              <w:t>41,50</w:t>
            </w:r>
          </w:p>
        </w:tc>
        <w:tc>
          <w:tcPr>
            <w:tcW w:w="1559" w:type="dxa"/>
            <w:tcBorders>
              <w:top w:val="nil"/>
              <w:left w:val="nil"/>
              <w:bottom w:val="single" w:sz="4" w:space="0" w:color="auto"/>
              <w:right w:val="single" w:sz="4" w:space="0" w:color="auto"/>
            </w:tcBorders>
            <w:shd w:val="clear" w:color="auto" w:fill="auto"/>
            <w:noWrap/>
            <w:vAlign w:val="center"/>
          </w:tcPr>
          <w:p w14:paraId="14A75E66" w14:textId="054FA684" w:rsidR="002F280D" w:rsidRPr="003234C5" w:rsidRDefault="002F280D" w:rsidP="002F280D">
            <w:pPr>
              <w:spacing w:after="0"/>
              <w:jc w:val="right"/>
              <w:rPr>
                <w:rFonts w:ascii="Arial" w:hAnsi="Arial" w:cs="Arial"/>
                <w:sz w:val="20"/>
                <w:szCs w:val="20"/>
              </w:rPr>
            </w:pPr>
            <w:r w:rsidRPr="003234C5">
              <w:rPr>
                <w:rFonts w:ascii="Arial" w:hAnsi="Arial" w:cs="Arial"/>
                <w:color w:val="000000"/>
                <w:sz w:val="20"/>
                <w:szCs w:val="20"/>
              </w:rPr>
              <w:t>1</w:t>
            </w:r>
            <w:r w:rsidR="002444F4" w:rsidRPr="003234C5">
              <w:rPr>
                <w:rFonts w:ascii="Arial" w:hAnsi="Arial" w:cs="Arial"/>
                <w:color w:val="000000"/>
                <w:sz w:val="20"/>
                <w:szCs w:val="20"/>
              </w:rPr>
              <w:t>1.173</w:t>
            </w:r>
          </w:p>
        </w:tc>
        <w:tc>
          <w:tcPr>
            <w:tcW w:w="1559" w:type="dxa"/>
            <w:tcBorders>
              <w:top w:val="nil"/>
              <w:left w:val="nil"/>
              <w:bottom w:val="single" w:sz="4" w:space="0" w:color="auto"/>
              <w:right w:val="single" w:sz="4" w:space="0" w:color="auto"/>
            </w:tcBorders>
            <w:shd w:val="clear" w:color="auto" w:fill="auto"/>
            <w:noWrap/>
            <w:vAlign w:val="center"/>
          </w:tcPr>
          <w:p w14:paraId="73DD370F" w14:textId="3E865EEF" w:rsidR="002F280D" w:rsidRPr="003234C5" w:rsidRDefault="002F280D" w:rsidP="002F280D">
            <w:pPr>
              <w:spacing w:after="0"/>
              <w:jc w:val="right"/>
              <w:rPr>
                <w:rFonts w:ascii="Arial" w:hAnsi="Arial" w:cs="Arial"/>
                <w:sz w:val="20"/>
                <w:szCs w:val="20"/>
              </w:rPr>
            </w:pPr>
            <w:r w:rsidRPr="003234C5">
              <w:rPr>
                <w:rFonts w:ascii="Arial" w:hAnsi="Arial" w:cs="Arial"/>
                <w:color w:val="000000"/>
                <w:sz w:val="20"/>
                <w:szCs w:val="20"/>
              </w:rPr>
              <w:t>4</w:t>
            </w:r>
            <w:r w:rsidR="002444F4" w:rsidRPr="003234C5">
              <w:rPr>
                <w:rFonts w:ascii="Arial" w:hAnsi="Arial" w:cs="Arial"/>
                <w:color w:val="000000"/>
                <w:sz w:val="20"/>
                <w:szCs w:val="20"/>
              </w:rPr>
              <w:t>5.604</w:t>
            </w:r>
          </w:p>
        </w:tc>
        <w:tc>
          <w:tcPr>
            <w:tcW w:w="1560" w:type="dxa"/>
            <w:tcBorders>
              <w:top w:val="nil"/>
              <w:left w:val="nil"/>
              <w:bottom w:val="single" w:sz="4" w:space="0" w:color="auto"/>
              <w:right w:val="single" w:sz="4" w:space="0" w:color="auto"/>
            </w:tcBorders>
            <w:shd w:val="clear" w:color="auto" w:fill="auto"/>
            <w:noWrap/>
            <w:vAlign w:val="center"/>
          </w:tcPr>
          <w:p w14:paraId="089629A6" w14:textId="3D6D7F5F" w:rsidR="002F280D" w:rsidRPr="003234C5" w:rsidRDefault="002F280D" w:rsidP="002F280D">
            <w:pPr>
              <w:spacing w:after="0"/>
              <w:jc w:val="right"/>
              <w:rPr>
                <w:rFonts w:ascii="Arial" w:hAnsi="Arial" w:cs="Arial"/>
                <w:sz w:val="20"/>
                <w:szCs w:val="20"/>
              </w:rPr>
            </w:pPr>
            <w:r w:rsidRPr="003234C5">
              <w:rPr>
                <w:rFonts w:ascii="Arial" w:hAnsi="Arial" w:cs="Arial"/>
                <w:color w:val="000000"/>
                <w:sz w:val="20"/>
                <w:szCs w:val="20"/>
              </w:rPr>
              <w:t>5</w:t>
            </w:r>
            <w:r w:rsidR="002444F4" w:rsidRPr="003234C5">
              <w:rPr>
                <w:rFonts w:ascii="Arial" w:hAnsi="Arial" w:cs="Arial"/>
                <w:color w:val="000000"/>
                <w:sz w:val="20"/>
                <w:szCs w:val="20"/>
              </w:rPr>
              <w:t>6.777</w:t>
            </w:r>
          </w:p>
        </w:tc>
      </w:tr>
      <w:tr w:rsidR="002F280D" w:rsidRPr="003234C5" w14:paraId="6DF6308F" w14:textId="77777777" w:rsidTr="002F280D">
        <w:trPr>
          <w:trHeight w:val="255"/>
          <w:jc w:val="center"/>
        </w:trPr>
        <w:tc>
          <w:tcPr>
            <w:tcW w:w="3266" w:type="dxa"/>
            <w:tcBorders>
              <w:top w:val="nil"/>
              <w:left w:val="single" w:sz="4" w:space="0" w:color="auto"/>
              <w:bottom w:val="single" w:sz="4" w:space="0" w:color="auto"/>
              <w:right w:val="single" w:sz="4" w:space="0" w:color="auto"/>
            </w:tcBorders>
            <w:shd w:val="clear" w:color="000000" w:fill="BFBFBF"/>
            <w:noWrap/>
            <w:vAlign w:val="bottom"/>
            <w:hideMark/>
          </w:tcPr>
          <w:p w14:paraId="3A3EFFD1" w14:textId="77777777" w:rsidR="002F280D" w:rsidRPr="003234C5" w:rsidRDefault="002F280D" w:rsidP="002F280D">
            <w:pPr>
              <w:spacing w:after="0"/>
              <w:rPr>
                <w:rFonts w:ascii="Arial" w:hAnsi="Arial" w:cs="Arial"/>
                <w:b/>
                <w:bCs/>
                <w:sz w:val="20"/>
                <w:szCs w:val="20"/>
              </w:rPr>
            </w:pPr>
            <w:r w:rsidRPr="003234C5">
              <w:rPr>
                <w:rFonts w:ascii="Arial" w:hAnsi="Arial" w:cs="Arial"/>
                <w:b/>
                <w:bCs/>
                <w:sz w:val="20"/>
                <w:szCs w:val="20"/>
              </w:rPr>
              <w:t>TOTAL</w:t>
            </w:r>
          </w:p>
        </w:tc>
        <w:tc>
          <w:tcPr>
            <w:tcW w:w="1133" w:type="dxa"/>
            <w:tcBorders>
              <w:top w:val="nil"/>
              <w:left w:val="nil"/>
              <w:bottom w:val="single" w:sz="4" w:space="0" w:color="auto"/>
              <w:right w:val="single" w:sz="4" w:space="0" w:color="auto"/>
            </w:tcBorders>
            <w:shd w:val="clear" w:color="000000" w:fill="BFBFBF"/>
            <w:noWrap/>
            <w:vAlign w:val="bottom"/>
            <w:hideMark/>
          </w:tcPr>
          <w:p w14:paraId="1DE8BAD6" w14:textId="77777777" w:rsidR="002F280D" w:rsidRPr="003234C5" w:rsidRDefault="002F280D" w:rsidP="002F280D">
            <w:pPr>
              <w:spacing w:after="0"/>
              <w:jc w:val="center"/>
              <w:rPr>
                <w:rFonts w:ascii="Arial" w:hAnsi="Arial" w:cs="Arial"/>
                <w:b/>
                <w:bCs/>
                <w:sz w:val="20"/>
                <w:szCs w:val="20"/>
              </w:rPr>
            </w:pPr>
            <w:r w:rsidRPr="003234C5">
              <w:rPr>
                <w:rFonts w:ascii="Arial" w:hAnsi="Arial" w:cs="Arial"/>
                <w:b/>
                <w:bCs/>
                <w:sz w:val="20"/>
                <w:szCs w:val="20"/>
              </w:rPr>
              <w:t>100,00</w:t>
            </w:r>
          </w:p>
        </w:tc>
        <w:tc>
          <w:tcPr>
            <w:tcW w:w="1559" w:type="dxa"/>
            <w:tcBorders>
              <w:top w:val="nil"/>
              <w:left w:val="nil"/>
              <w:bottom w:val="single" w:sz="4" w:space="0" w:color="auto"/>
              <w:right w:val="single" w:sz="4" w:space="0" w:color="auto"/>
            </w:tcBorders>
            <w:shd w:val="clear" w:color="000000" w:fill="BFBFBF"/>
            <w:noWrap/>
            <w:vAlign w:val="center"/>
          </w:tcPr>
          <w:p w14:paraId="04546948" w14:textId="223E2D3A" w:rsidR="002F280D" w:rsidRPr="003234C5" w:rsidRDefault="002F280D" w:rsidP="002F280D">
            <w:pPr>
              <w:spacing w:after="0"/>
              <w:jc w:val="right"/>
              <w:rPr>
                <w:rFonts w:ascii="Arial" w:hAnsi="Arial" w:cs="Arial"/>
                <w:b/>
                <w:bCs/>
                <w:sz w:val="20"/>
                <w:szCs w:val="20"/>
              </w:rPr>
            </w:pPr>
            <w:r w:rsidRPr="003234C5">
              <w:rPr>
                <w:rFonts w:ascii="Arial" w:hAnsi="Arial" w:cs="Arial"/>
                <w:b/>
                <w:bCs/>
                <w:color w:val="000000"/>
                <w:sz w:val="20"/>
                <w:szCs w:val="20"/>
              </w:rPr>
              <w:t>4</w:t>
            </w:r>
            <w:r w:rsidR="002444F4" w:rsidRPr="003234C5">
              <w:rPr>
                <w:rFonts w:ascii="Arial" w:hAnsi="Arial" w:cs="Arial"/>
                <w:b/>
                <w:bCs/>
                <w:color w:val="000000"/>
                <w:sz w:val="20"/>
                <w:szCs w:val="20"/>
              </w:rPr>
              <w:t>5.605</w:t>
            </w:r>
          </w:p>
        </w:tc>
        <w:tc>
          <w:tcPr>
            <w:tcW w:w="1559" w:type="dxa"/>
            <w:tcBorders>
              <w:top w:val="nil"/>
              <w:left w:val="nil"/>
              <w:bottom w:val="single" w:sz="4" w:space="0" w:color="auto"/>
              <w:right w:val="single" w:sz="4" w:space="0" w:color="auto"/>
            </w:tcBorders>
            <w:shd w:val="clear" w:color="000000" w:fill="BFBFBF"/>
            <w:noWrap/>
            <w:vAlign w:val="center"/>
          </w:tcPr>
          <w:p w14:paraId="355791D9" w14:textId="692A8FE5" w:rsidR="002F280D" w:rsidRPr="003234C5" w:rsidRDefault="002444F4" w:rsidP="002F280D">
            <w:pPr>
              <w:spacing w:after="0"/>
              <w:jc w:val="right"/>
              <w:rPr>
                <w:rFonts w:ascii="Arial" w:hAnsi="Arial" w:cs="Arial"/>
                <w:b/>
                <w:bCs/>
                <w:sz w:val="20"/>
                <w:szCs w:val="20"/>
              </w:rPr>
            </w:pPr>
            <w:r w:rsidRPr="003234C5">
              <w:rPr>
                <w:rFonts w:ascii="Arial" w:hAnsi="Arial" w:cs="Arial"/>
                <w:b/>
                <w:bCs/>
                <w:color w:val="000000"/>
                <w:sz w:val="20"/>
                <w:szCs w:val="20"/>
              </w:rPr>
              <w:t>91.208</w:t>
            </w:r>
          </w:p>
        </w:tc>
        <w:tc>
          <w:tcPr>
            <w:tcW w:w="1560" w:type="dxa"/>
            <w:tcBorders>
              <w:top w:val="nil"/>
              <w:left w:val="nil"/>
              <w:bottom w:val="single" w:sz="4" w:space="0" w:color="auto"/>
              <w:right w:val="single" w:sz="4" w:space="0" w:color="auto"/>
            </w:tcBorders>
            <w:shd w:val="clear" w:color="000000" w:fill="BFBFBF"/>
            <w:noWrap/>
            <w:vAlign w:val="center"/>
          </w:tcPr>
          <w:p w14:paraId="7B830F7D" w14:textId="7E9DD4F0" w:rsidR="002F280D" w:rsidRPr="003234C5" w:rsidRDefault="002F280D" w:rsidP="002F280D">
            <w:pPr>
              <w:spacing w:after="0"/>
              <w:jc w:val="right"/>
              <w:rPr>
                <w:rFonts w:ascii="Arial" w:hAnsi="Arial" w:cs="Arial"/>
                <w:b/>
                <w:bCs/>
                <w:sz w:val="20"/>
                <w:szCs w:val="20"/>
              </w:rPr>
            </w:pPr>
            <w:r w:rsidRPr="003234C5">
              <w:rPr>
                <w:rFonts w:ascii="Arial" w:hAnsi="Arial" w:cs="Arial"/>
                <w:b/>
                <w:bCs/>
                <w:color w:val="000000"/>
                <w:sz w:val="20"/>
                <w:szCs w:val="20"/>
              </w:rPr>
              <w:t>1</w:t>
            </w:r>
            <w:r w:rsidR="002444F4" w:rsidRPr="003234C5">
              <w:rPr>
                <w:rFonts w:ascii="Arial" w:hAnsi="Arial" w:cs="Arial"/>
                <w:b/>
                <w:bCs/>
                <w:color w:val="000000"/>
                <w:sz w:val="20"/>
                <w:szCs w:val="20"/>
              </w:rPr>
              <w:t>36.813</w:t>
            </w:r>
          </w:p>
        </w:tc>
      </w:tr>
    </w:tbl>
    <w:p w14:paraId="6B1A218F" w14:textId="4ABF26A6" w:rsidR="00200682" w:rsidRPr="003234C5" w:rsidRDefault="00200682" w:rsidP="003F4E8C">
      <w:pPr>
        <w:spacing w:before="120"/>
        <w:jc w:val="both"/>
        <w:rPr>
          <w:rFonts w:ascii="Arial" w:hAnsi="Arial" w:cs="Arial"/>
          <w:b/>
        </w:rPr>
      </w:pPr>
      <w:r w:rsidRPr="003234C5">
        <w:rPr>
          <w:rFonts w:ascii="Arial" w:hAnsi="Arial" w:cs="Arial"/>
          <w:b/>
        </w:rPr>
        <w:lastRenderedPageBreak/>
        <w:t>NOTA 2</w:t>
      </w:r>
      <w:r w:rsidR="005953BA">
        <w:rPr>
          <w:rFonts w:ascii="Arial" w:hAnsi="Arial" w:cs="Arial"/>
          <w:b/>
        </w:rPr>
        <w:t>8</w:t>
      </w:r>
      <w:r w:rsidRPr="003234C5">
        <w:rPr>
          <w:rFonts w:ascii="Arial" w:hAnsi="Arial" w:cs="Arial"/>
          <w:b/>
        </w:rPr>
        <w:t>. RECEITA LÍQUIDA – VENDA DE GÁS E SERVIÇOS</w:t>
      </w:r>
    </w:p>
    <w:p w14:paraId="64865B7D" w14:textId="2CF243CB" w:rsidR="00200682" w:rsidRPr="003234C5" w:rsidRDefault="00200682" w:rsidP="00200682">
      <w:pPr>
        <w:jc w:val="both"/>
        <w:rPr>
          <w:rFonts w:ascii="Arial" w:hAnsi="Arial" w:cs="Arial"/>
        </w:rPr>
      </w:pPr>
      <w:r w:rsidRPr="003234C5">
        <w:rPr>
          <w:rFonts w:ascii="Arial" w:hAnsi="Arial" w:cs="Arial"/>
        </w:rPr>
        <w:t>A receita líquida por natureza está demonstrada na tabela abaixo:</w:t>
      </w:r>
    </w:p>
    <w:tbl>
      <w:tblPr>
        <w:tblW w:w="9073" w:type="dxa"/>
        <w:jc w:val="center"/>
        <w:tblCellMar>
          <w:left w:w="70" w:type="dxa"/>
          <w:right w:w="70" w:type="dxa"/>
        </w:tblCellMar>
        <w:tblLook w:val="04A0" w:firstRow="1" w:lastRow="0" w:firstColumn="1" w:lastColumn="0" w:noHBand="0" w:noVBand="1"/>
      </w:tblPr>
      <w:tblGrid>
        <w:gridCol w:w="6380"/>
        <w:gridCol w:w="1417"/>
        <w:gridCol w:w="1276"/>
      </w:tblGrid>
      <w:tr w:rsidR="00200682" w:rsidRPr="003234C5" w14:paraId="04D746D4" w14:textId="77777777" w:rsidTr="00371FB1">
        <w:trPr>
          <w:trHeight w:val="240"/>
          <w:jc w:val="center"/>
        </w:trPr>
        <w:tc>
          <w:tcPr>
            <w:tcW w:w="638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170C406" w14:textId="77777777" w:rsidR="00200682" w:rsidRPr="003234C5" w:rsidRDefault="00200682" w:rsidP="00E84342">
            <w:pPr>
              <w:spacing w:after="0"/>
              <w:rPr>
                <w:rFonts w:ascii="Arial" w:hAnsi="Arial" w:cs="Arial"/>
                <w:b/>
                <w:bCs/>
                <w:color w:val="000000"/>
                <w:sz w:val="20"/>
                <w:szCs w:val="20"/>
              </w:rPr>
            </w:pPr>
            <w:r w:rsidRPr="003234C5">
              <w:rPr>
                <w:rFonts w:ascii="Arial" w:hAnsi="Arial" w:cs="Arial"/>
                <w:b/>
                <w:bCs/>
                <w:color w:val="000000"/>
                <w:sz w:val="20"/>
                <w:szCs w:val="20"/>
              </w:rPr>
              <w:t>DESCRIÇÃO</w:t>
            </w:r>
          </w:p>
        </w:tc>
        <w:tc>
          <w:tcPr>
            <w:tcW w:w="1417" w:type="dxa"/>
            <w:tcBorders>
              <w:top w:val="single" w:sz="4" w:space="0" w:color="auto"/>
              <w:left w:val="nil"/>
              <w:bottom w:val="single" w:sz="4" w:space="0" w:color="auto"/>
              <w:right w:val="single" w:sz="4" w:space="0" w:color="auto"/>
            </w:tcBorders>
            <w:shd w:val="clear" w:color="000000" w:fill="D8D8D8"/>
            <w:noWrap/>
            <w:vAlign w:val="bottom"/>
            <w:hideMark/>
          </w:tcPr>
          <w:p w14:paraId="2E1CC617" w14:textId="37D5E8D0" w:rsidR="00200682" w:rsidRPr="003234C5" w:rsidRDefault="00C6257E" w:rsidP="00E84342">
            <w:pPr>
              <w:spacing w:after="0"/>
              <w:jc w:val="center"/>
              <w:rPr>
                <w:rFonts w:ascii="Arial" w:hAnsi="Arial" w:cs="Arial"/>
                <w:b/>
                <w:bCs/>
                <w:color w:val="000000"/>
                <w:sz w:val="20"/>
                <w:szCs w:val="20"/>
              </w:rPr>
            </w:pPr>
            <w:r>
              <w:rPr>
                <w:rFonts w:ascii="Arial" w:hAnsi="Arial" w:cs="Arial"/>
                <w:b/>
                <w:bCs/>
                <w:color w:val="000000"/>
                <w:sz w:val="20"/>
                <w:szCs w:val="20"/>
              </w:rPr>
              <w:t>2019</w:t>
            </w:r>
          </w:p>
        </w:tc>
        <w:tc>
          <w:tcPr>
            <w:tcW w:w="1276" w:type="dxa"/>
            <w:tcBorders>
              <w:top w:val="single" w:sz="4" w:space="0" w:color="auto"/>
              <w:left w:val="nil"/>
              <w:bottom w:val="single" w:sz="4" w:space="0" w:color="auto"/>
              <w:right w:val="single" w:sz="4" w:space="0" w:color="auto"/>
            </w:tcBorders>
            <w:shd w:val="clear" w:color="000000" w:fill="D8D8D8"/>
            <w:vAlign w:val="bottom"/>
          </w:tcPr>
          <w:p w14:paraId="20E824C4" w14:textId="64EAA0CB" w:rsidR="00200682" w:rsidRPr="003234C5" w:rsidRDefault="00C6257E" w:rsidP="00E84342">
            <w:pPr>
              <w:spacing w:after="0"/>
              <w:jc w:val="center"/>
              <w:rPr>
                <w:rFonts w:ascii="Arial" w:hAnsi="Arial" w:cs="Arial"/>
                <w:b/>
                <w:bCs/>
                <w:color w:val="000000"/>
                <w:sz w:val="20"/>
                <w:szCs w:val="20"/>
              </w:rPr>
            </w:pPr>
            <w:r>
              <w:rPr>
                <w:rFonts w:ascii="Arial" w:hAnsi="Arial" w:cs="Arial"/>
                <w:b/>
                <w:bCs/>
                <w:color w:val="000000"/>
                <w:sz w:val="20"/>
                <w:szCs w:val="20"/>
              </w:rPr>
              <w:t>2018</w:t>
            </w:r>
          </w:p>
        </w:tc>
      </w:tr>
      <w:tr w:rsidR="00A65821" w:rsidRPr="003234C5" w14:paraId="3CD3CE0D" w14:textId="77777777" w:rsidTr="00371FB1">
        <w:trPr>
          <w:trHeight w:val="240"/>
          <w:jc w:val="center"/>
        </w:trPr>
        <w:tc>
          <w:tcPr>
            <w:tcW w:w="638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1C4DB67" w14:textId="77777777" w:rsidR="00A65821" w:rsidRPr="003234C5" w:rsidRDefault="00A65821" w:rsidP="00A65821">
            <w:pPr>
              <w:spacing w:after="0"/>
              <w:rPr>
                <w:rFonts w:ascii="Arial" w:hAnsi="Arial" w:cs="Arial"/>
                <w:b/>
                <w:bCs/>
                <w:color w:val="000000"/>
                <w:sz w:val="20"/>
                <w:szCs w:val="20"/>
              </w:rPr>
            </w:pPr>
            <w:r w:rsidRPr="003234C5">
              <w:rPr>
                <w:rFonts w:ascii="Arial" w:hAnsi="Arial" w:cs="Arial"/>
                <w:b/>
                <w:bCs/>
                <w:color w:val="000000"/>
                <w:sz w:val="20"/>
                <w:szCs w:val="20"/>
              </w:rPr>
              <w:t>Receita Bruta</w:t>
            </w:r>
          </w:p>
        </w:tc>
        <w:tc>
          <w:tcPr>
            <w:tcW w:w="1417" w:type="dxa"/>
            <w:tcBorders>
              <w:top w:val="single" w:sz="4" w:space="0" w:color="auto"/>
              <w:left w:val="nil"/>
              <w:bottom w:val="single" w:sz="4" w:space="0" w:color="auto"/>
              <w:right w:val="single" w:sz="4" w:space="0" w:color="auto"/>
            </w:tcBorders>
            <w:shd w:val="clear" w:color="000000" w:fill="auto"/>
            <w:noWrap/>
            <w:vAlign w:val="center"/>
          </w:tcPr>
          <w:p w14:paraId="0821D497" w14:textId="3B1EC135" w:rsidR="00A65821" w:rsidRPr="003234C5" w:rsidRDefault="00445BDE" w:rsidP="00A65821">
            <w:pPr>
              <w:spacing w:after="0"/>
              <w:jc w:val="right"/>
              <w:rPr>
                <w:rFonts w:ascii="Arial" w:hAnsi="Arial" w:cs="Arial"/>
                <w:b/>
                <w:bCs/>
                <w:color w:val="000000"/>
                <w:sz w:val="20"/>
                <w:szCs w:val="20"/>
              </w:rPr>
            </w:pPr>
            <w:r>
              <w:rPr>
                <w:rFonts w:ascii="Arial" w:hAnsi="Arial" w:cs="Arial"/>
                <w:b/>
                <w:bCs/>
                <w:color w:val="000000"/>
                <w:sz w:val="20"/>
                <w:szCs w:val="20"/>
              </w:rPr>
              <w:t>719.46</w:t>
            </w:r>
            <w:r w:rsidR="00045440">
              <w:rPr>
                <w:rFonts w:ascii="Arial" w:hAnsi="Arial" w:cs="Arial"/>
                <w:b/>
                <w:bCs/>
                <w:color w:val="000000"/>
                <w:sz w:val="20"/>
                <w:szCs w:val="20"/>
              </w:rPr>
              <w:t>6</w:t>
            </w:r>
          </w:p>
        </w:tc>
        <w:tc>
          <w:tcPr>
            <w:tcW w:w="1276" w:type="dxa"/>
            <w:tcBorders>
              <w:top w:val="single" w:sz="4" w:space="0" w:color="auto"/>
              <w:left w:val="nil"/>
              <w:bottom w:val="single" w:sz="4" w:space="0" w:color="auto"/>
              <w:right w:val="single" w:sz="4" w:space="0" w:color="auto"/>
            </w:tcBorders>
            <w:shd w:val="clear" w:color="000000" w:fill="auto"/>
            <w:vAlign w:val="center"/>
          </w:tcPr>
          <w:p w14:paraId="14E553FD" w14:textId="7BE6AE25" w:rsidR="00A65821" w:rsidRPr="003234C5" w:rsidRDefault="00963427" w:rsidP="00A65821">
            <w:pPr>
              <w:spacing w:after="0"/>
              <w:jc w:val="right"/>
              <w:rPr>
                <w:rFonts w:ascii="Arial" w:hAnsi="Arial" w:cs="Arial"/>
                <w:b/>
                <w:bCs/>
                <w:color w:val="000000"/>
                <w:sz w:val="20"/>
                <w:szCs w:val="20"/>
              </w:rPr>
            </w:pPr>
            <w:r>
              <w:rPr>
                <w:rFonts w:ascii="Arial" w:hAnsi="Arial" w:cs="Arial"/>
                <w:b/>
                <w:bCs/>
                <w:sz w:val="20"/>
                <w:szCs w:val="20"/>
              </w:rPr>
              <w:t>518.370</w:t>
            </w:r>
          </w:p>
        </w:tc>
      </w:tr>
      <w:tr w:rsidR="00A65821" w:rsidRPr="003234C5" w14:paraId="5A27FF32" w14:textId="77777777" w:rsidTr="00371FB1">
        <w:trPr>
          <w:trHeight w:val="240"/>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2494AAF5" w14:textId="77777777"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Venda de Gás</w:t>
            </w:r>
          </w:p>
        </w:tc>
        <w:tc>
          <w:tcPr>
            <w:tcW w:w="1417" w:type="dxa"/>
            <w:tcBorders>
              <w:top w:val="nil"/>
              <w:left w:val="nil"/>
              <w:bottom w:val="single" w:sz="4" w:space="0" w:color="auto"/>
              <w:right w:val="single" w:sz="4" w:space="0" w:color="auto"/>
            </w:tcBorders>
            <w:shd w:val="clear" w:color="auto" w:fill="auto"/>
            <w:noWrap/>
            <w:vAlign w:val="center"/>
          </w:tcPr>
          <w:p w14:paraId="766F317F" w14:textId="585EAC91" w:rsidR="00A65821" w:rsidRPr="003234C5" w:rsidRDefault="00445BDE" w:rsidP="00A65821">
            <w:pPr>
              <w:spacing w:after="0"/>
              <w:jc w:val="right"/>
              <w:rPr>
                <w:rFonts w:ascii="Arial" w:hAnsi="Arial" w:cs="Arial"/>
                <w:color w:val="000000"/>
                <w:sz w:val="20"/>
                <w:szCs w:val="20"/>
              </w:rPr>
            </w:pPr>
            <w:r>
              <w:rPr>
                <w:rFonts w:ascii="Arial" w:hAnsi="Arial" w:cs="Arial"/>
                <w:color w:val="000000"/>
                <w:sz w:val="20"/>
                <w:szCs w:val="20"/>
              </w:rPr>
              <w:t>695.18</w:t>
            </w:r>
            <w:r w:rsidR="00785AA2">
              <w:rPr>
                <w:rFonts w:ascii="Arial" w:hAnsi="Arial" w:cs="Arial"/>
                <w:color w:val="000000"/>
                <w:sz w:val="20"/>
                <w:szCs w:val="20"/>
              </w:rPr>
              <w:t>8</w:t>
            </w:r>
          </w:p>
        </w:tc>
        <w:tc>
          <w:tcPr>
            <w:tcW w:w="1276" w:type="dxa"/>
            <w:tcBorders>
              <w:top w:val="nil"/>
              <w:left w:val="nil"/>
              <w:bottom w:val="single" w:sz="4" w:space="0" w:color="auto"/>
              <w:right w:val="single" w:sz="4" w:space="0" w:color="auto"/>
            </w:tcBorders>
            <w:vAlign w:val="center"/>
          </w:tcPr>
          <w:p w14:paraId="22CAD3B1" w14:textId="335722BA" w:rsidR="00A65821" w:rsidRPr="003234C5" w:rsidRDefault="00676A97" w:rsidP="00A65821">
            <w:pPr>
              <w:spacing w:after="0"/>
              <w:jc w:val="right"/>
              <w:rPr>
                <w:rFonts w:ascii="Arial" w:hAnsi="Arial" w:cs="Arial"/>
                <w:color w:val="000000"/>
                <w:sz w:val="20"/>
                <w:szCs w:val="20"/>
              </w:rPr>
            </w:pPr>
            <w:r>
              <w:rPr>
                <w:rFonts w:ascii="Arial" w:hAnsi="Arial" w:cs="Arial"/>
                <w:sz w:val="20"/>
                <w:szCs w:val="20"/>
              </w:rPr>
              <w:t>499.271</w:t>
            </w:r>
          </w:p>
        </w:tc>
      </w:tr>
      <w:tr w:rsidR="00A65821" w:rsidRPr="003234C5" w14:paraId="6DC871F9" w14:textId="77777777" w:rsidTr="00371FB1">
        <w:trPr>
          <w:trHeight w:val="240"/>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4B760F75" w14:textId="77777777"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Prestação de Serviços</w:t>
            </w:r>
          </w:p>
        </w:tc>
        <w:tc>
          <w:tcPr>
            <w:tcW w:w="1417" w:type="dxa"/>
            <w:tcBorders>
              <w:top w:val="nil"/>
              <w:left w:val="nil"/>
              <w:bottom w:val="single" w:sz="4" w:space="0" w:color="auto"/>
              <w:right w:val="single" w:sz="4" w:space="0" w:color="auto"/>
            </w:tcBorders>
            <w:shd w:val="clear" w:color="auto" w:fill="auto"/>
            <w:noWrap/>
            <w:vAlign w:val="center"/>
          </w:tcPr>
          <w:p w14:paraId="0B3BE3BC" w14:textId="2AE133D6" w:rsidR="00A65821" w:rsidRPr="003234C5" w:rsidRDefault="00445BDE" w:rsidP="00A65821">
            <w:pPr>
              <w:spacing w:after="0"/>
              <w:jc w:val="right"/>
              <w:rPr>
                <w:rFonts w:ascii="Arial" w:hAnsi="Arial" w:cs="Arial"/>
                <w:color w:val="000000"/>
                <w:sz w:val="20"/>
                <w:szCs w:val="20"/>
              </w:rPr>
            </w:pPr>
            <w:r>
              <w:rPr>
                <w:rFonts w:ascii="Arial" w:hAnsi="Arial" w:cs="Arial"/>
                <w:color w:val="000000"/>
                <w:sz w:val="20"/>
                <w:szCs w:val="20"/>
              </w:rPr>
              <w:t>233</w:t>
            </w:r>
          </w:p>
        </w:tc>
        <w:tc>
          <w:tcPr>
            <w:tcW w:w="1276" w:type="dxa"/>
            <w:tcBorders>
              <w:top w:val="nil"/>
              <w:left w:val="nil"/>
              <w:bottom w:val="single" w:sz="4" w:space="0" w:color="auto"/>
              <w:right w:val="single" w:sz="4" w:space="0" w:color="auto"/>
            </w:tcBorders>
            <w:vAlign w:val="center"/>
          </w:tcPr>
          <w:p w14:paraId="139C49D0" w14:textId="75A178DB" w:rsidR="00A65821" w:rsidRPr="003234C5" w:rsidRDefault="00A65821" w:rsidP="00A65821">
            <w:pPr>
              <w:spacing w:after="0"/>
              <w:jc w:val="right"/>
              <w:rPr>
                <w:rFonts w:ascii="Arial" w:hAnsi="Arial" w:cs="Arial"/>
                <w:color w:val="000000"/>
                <w:sz w:val="20"/>
                <w:szCs w:val="20"/>
              </w:rPr>
            </w:pPr>
            <w:r>
              <w:rPr>
                <w:rFonts w:ascii="Arial" w:hAnsi="Arial" w:cs="Arial"/>
                <w:sz w:val="20"/>
                <w:szCs w:val="20"/>
              </w:rPr>
              <w:t>235</w:t>
            </w:r>
          </w:p>
        </w:tc>
      </w:tr>
      <w:tr w:rsidR="00B179BA" w:rsidRPr="003234C5" w14:paraId="70811643" w14:textId="77777777" w:rsidTr="00371FB1">
        <w:trPr>
          <w:trHeight w:val="240"/>
          <w:jc w:val="center"/>
        </w:trPr>
        <w:tc>
          <w:tcPr>
            <w:tcW w:w="6380" w:type="dxa"/>
            <w:tcBorders>
              <w:top w:val="nil"/>
              <w:left w:val="single" w:sz="4" w:space="0" w:color="auto"/>
              <w:bottom w:val="single" w:sz="4" w:space="0" w:color="auto"/>
              <w:right w:val="single" w:sz="4" w:space="0" w:color="auto"/>
            </w:tcBorders>
            <w:shd w:val="clear" w:color="auto" w:fill="auto"/>
            <w:noWrap/>
            <w:vAlign w:val="bottom"/>
          </w:tcPr>
          <w:p w14:paraId="3F4C82C9" w14:textId="6AB3F50A" w:rsidR="00B179BA" w:rsidRPr="003234C5" w:rsidRDefault="00B179BA" w:rsidP="00B179BA">
            <w:pPr>
              <w:spacing w:after="0"/>
              <w:rPr>
                <w:rFonts w:ascii="Arial" w:hAnsi="Arial" w:cs="Arial"/>
                <w:sz w:val="20"/>
                <w:szCs w:val="20"/>
              </w:rPr>
            </w:pPr>
            <w:bookmarkStart w:id="41" w:name="_Hlk506333219"/>
            <w:r w:rsidRPr="003234C5">
              <w:rPr>
                <w:rFonts w:ascii="Arial" w:hAnsi="Arial" w:cs="Arial"/>
                <w:sz w:val="20"/>
                <w:szCs w:val="20"/>
              </w:rPr>
              <w:t xml:space="preserve">   Receita de Construção</w:t>
            </w:r>
          </w:p>
        </w:tc>
        <w:tc>
          <w:tcPr>
            <w:tcW w:w="1417" w:type="dxa"/>
            <w:tcBorders>
              <w:top w:val="nil"/>
              <w:left w:val="nil"/>
              <w:bottom w:val="single" w:sz="4" w:space="0" w:color="auto"/>
              <w:right w:val="single" w:sz="4" w:space="0" w:color="auto"/>
            </w:tcBorders>
            <w:shd w:val="clear" w:color="auto" w:fill="auto"/>
            <w:noWrap/>
            <w:vAlign w:val="center"/>
          </w:tcPr>
          <w:p w14:paraId="75423ED8" w14:textId="49753020" w:rsidR="00B179BA" w:rsidRPr="003234C5" w:rsidRDefault="00445BDE" w:rsidP="00B179BA">
            <w:pPr>
              <w:spacing w:after="0"/>
              <w:jc w:val="right"/>
              <w:rPr>
                <w:rFonts w:ascii="Arial" w:hAnsi="Arial" w:cs="Arial"/>
                <w:sz w:val="20"/>
                <w:szCs w:val="20"/>
              </w:rPr>
            </w:pPr>
            <w:r>
              <w:rPr>
                <w:rFonts w:ascii="Arial" w:hAnsi="Arial" w:cs="Arial"/>
                <w:sz w:val="20"/>
                <w:szCs w:val="20"/>
              </w:rPr>
              <w:t>24.045</w:t>
            </w:r>
          </w:p>
        </w:tc>
        <w:tc>
          <w:tcPr>
            <w:tcW w:w="1276" w:type="dxa"/>
            <w:tcBorders>
              <w:top w:val="nil"/>
              <w:left w:val="nil"/>
              <w:bottom w:val="single" w:sz="4" w:space="0" w:color="auto"/>
              <w:right w:val="single" w:sz="4" w:space="0" w:color="auto"/>
            </w:tcBorders>
            <w:vAlign w:val="center"/>
          </w:tcPr>
          <w:p w14:paraId="0971DEE8" w14:textId="5E79D30E" w:rsidR="00B179BA" w:rsidRPr="003234C5" w:rsidRDefault="00DA11DB" w:rsidP="00B179BA">
            <w:pPr>
              <w:spacing w:after="0"/>
              <w:jc w:val="right"/>
              <w:rPr>
                <w:rFonts w:ascii="Arial" w:hAnsi="Arial" w:cs="Arial"/>
                <w:sz w:val="20"/>
                <w:szCs w:val="20"/>
              </w:rPr>
            </w:pPr>
            <w:r>
              <w:rPr>
                <w:rFonts w:ascii="Arial" w:hAnsi="Arial" w:cs="Arial"/>
                <w:sz w:val="20"/>
                <w:szCs w:val="20"/>
              </w:rPr>
              <w:t>18.864</w:t>
            </w:r>
          </w:p>
        </w:tc>
      </w:tr>
      <w:bookmarkEnd w:id="41"/>
      <w:tr w:rsidR="00A65821" w:rsidRPr="003234C5" w14:paraId="284A7BA6" w14:textId="77777777" w:rsidTr="00371FB1">
        <w:trPr>
          <w:trHeight w:val="240"/>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3DC94D40" w14:textId="77777777" w:rsidR="00A65821" w:rsidRPr="003234C5" w:rsidRDefault="00A65821" w:rsidP="00A65821">
            <w:pPr>
              <w:spacing w:after="0"/>
              <w:rPr>
                <w:rFonts w:ascii="Arial" w:hAnsi="Arial" w:cs="Arial"/>
                <w:b/>
                <w:bCs/>
                <w:color w:val="000000"/>
                <w:sz w:val="20"/>
                <w:szCs w:val="20"/>
              </w:rPr>
            </w:pPr>
            <w:r w:rsidRPr="003234C5">
              <w:rPr>
                <w:rFonts w:ascii="Arial" w:hAnsi="Arial" w:cs="Arial"/>
                <w:b/>
                <w:bCs/>
                <w:color w:val="000000"/>
                <w:sz w:val="20"/>
                <w:szCs w:val="20"/>
              </w:rPr>
              <w:t>(-) Deduções da Receita Bruta</w:t>
            </w:r>
          </w:p>
        </w:tc>
        <w:tc>
          <w:tcPr>
            <w:tcW w:w="1417" w:type="dxa"/>
            <w:tcBorders>
              <w:top w:val="nil"/>
              <w:left w:val="nil"/>
              <w:bottom w:val="single" w:sz="4" w:space="0" w:color="auto"/>
              <w:right w:val="single" w:sz="4" w:space="0" w:color="auto"/>
            </w:tcBorders>
            <w:shd w:val="clear" w:color="auto" w:fill="auto"/>
            <w:noWrap/>
            <w:vAlign w:val="center"/>
          </w:tcPr>
          <w:p w14:paraId="6EA56A63" w14:textId="3931C255" w:rsidR="00A65821" w:rsidRPr="003234C5" w:rsidRDefault="00445BDE" w:rsidP="00A65821">
            <w:pPr>
              <w:spacing w:after="0"/>
              <w:jc w:val="right"/>
              <w:rPr>
                <w:rFonts w:ascii="Arial" w:hAnsi="Arial" w:cs="Arial"/>
                <w:b/>
                <w:bCs/>
                <w:color w:val="000000"/>
                <w:sz w:val="20"/>
                <w:szCs w:val="20"/>
              </w:rPr>
            </w:pPr>
            <w:r>
              <w:rPr>
                <w:rFonts w:ascii="Arial" w:hAnsi="Arial" w:cs="Arial"/>
                <w:b/>
                <w:bCs/>
                <w:color w:val="000000"/>
                <w:sz w:val="20"/>
                <w:szCs w:val="20"/>
              </w:rPr>
              <w:t>(179.082)</w:t>
            </w:r>
          </w:p>
        </w:tc>
        <w:tc>
          <w:tcPr>
            <w:tcW w:w="1276" w:type="dxa"/>
            <w:tcBorders>
              <w:top w:val="nil"/>
              <w:left w:val="nil"/>
              <w:bottom w:val="single" w:sz="4" w:space="0" w:color="auto"/>
              <w:right w:val="single" w:sz="4" w:space="0" w:color="auto"/>
            </w:tcBorders>
            <w:vAlign w:val="center"/>
          </w:tcPr>
          <w:p w14:paraId="5AEF4582" w14:textId="55698E60" w:rsidR="00A65821" w:rsidRPr="003234C5" w:rsidRDefault="00A65821" w:rsidP="00A65821">
            <w:pPr>
              <w:spacing w:after="0"/>
              <w:jc w:val="right"/>
              <w:rPr>
                <w:rFonts w:ascii="Arial" w:hAnsi="Arial" w:cs="Arial"/>
                <w:b/>
                <w:bCs/>
                <w:color w:val="000000"/>
                <w:sz w:val="20"/>
                <w:szCs w:val="20"/>
              </w:rPr>
            </w:pPr>
            <w:r>
              <w:rPr>
                <w:rFonts w:ascii="Arial" w:hAnsi="Arial" w:cs="Arial"/>
                <w:b/>
                <w:bCs/>
                <w:sz w:val="20"/>
                <w:szCs w:val="20"/>
              </w:rPr>
              <w:t>(133.</w:t>
            </w:r>
            <w:r w:rsidR="00963427">
              <w:rPr>
                <w:rFonts w:ascii="Arial" w:hAnsi="Arial" w:cs="Arial"/>
                <w:b/>
                <w:bCs/>
                <w:sz w:val="20"/>
                <w:szCs w:val="20"/>
              </w:rPr>
              <w:t>125</w:t>
            </w:r>
            <w:r>
              <w:rPr>
                <w:rFonts w:ascii="Arial" w:hAnsi="Arial" w:cs="Arial"/>
                <w:b/>
                <w:bCs/>
                <w:sz w:val="20"/>
                <w:szCs w:val="20"/>
              </w:rPr>
              <w:t>)</w:t>
            </w:r>
          </w:p>
        </w:tc>
      </w:tr>
      <w:tr w:rsidR="00A65821" w:rsidRPr="003234C5" w14:paraId="4BB4C3D9" w14:textId="77777777" w:rsidTr="00371FB1">
        <w:trPr>
          <w:trHeight w:val="240"/>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4C76469A" w14:textId="77777777"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Venda de Gás</w:t>
            </w:r>
          </w:p>
        </w:tc>
        <w:tc>
          <w:tcPr>
            <w:tcW w:w="1417" w:type="dxa"/>
            <w:tcBorders>
              <w:top w:val="nil"/>
              <w:left w:val="nil"/>
              <w:bottom w:val="single" w:sz="4" w:space="0" w:color="auto"/>
              <w:right w:val="single" w:sz="4" w:space="0" w:color="auto"/>
            </w:tcBorders>
            <w:shd w:val="clear" w:color="auto" w:fill="auto"/>
            <w:noWrap/>
            <w:vAlign w:val="center"/>
          </w:tcPr>
          <w:p w14:paraId="707F5DBB" w14:textId="0644219C" w:rsidR="00A65821" w:rsidRPr="003234C5" w:rsidRDefault="00445BDE" w:rsidP="00A65821">
            <w:pPr>
              <w:spacing w:after="0"/>
              <w:jc w:val="right"/>
              <w:rPr>
                <w:rFonts w:ascii="Arial" w:hAnsi="Arial" w:cs="Arial"/>
                <w:color w:val="000000"/>
                <w:sz w:val="20"/>
                <w:szCs w:val="20"/>
              </w:rPr>
            </w:pPr>
            <w:r>
              <w:rPr>
                <w:rFonts w:ascii="Arial" w:hAnsi="Arial" w:cs="Arial"/>
                <w:color w:val="000000"/>
                <w:sz w:val="20"/>
                <w:szCs w:val="20"/>
              </w:rPr>
              <w:t>(179.060)</w:t>
            </w:r>
          </w:p>
        </w:tc>
        <w:tc>
          <w:tcPr>
            <w:tcW w:w="1276" w:type="dxa"/>
            <w:tcBorders>
              <w:top w:val="nil"/>
              <w:left w:val="nil"/>
              <w:bottom w:val="single" w:sz="4" w:space="0" w:color="auto"/>
              <w:right w:val="single" w:sz="4" w:space="0" w:color="auto"/>
            </w:tcBorders>
            <w:vAlign w:val="center"/>
          </w:tcPr>
          <w:p w14:paraId="613BBC54" w14:textId="3124B004" w:rsidR="00A65821" w:rsidRPr="003234C5" w:rsidRDefault="00A65821" w:rsidP="00A65821">
            <w:pPr>
              <w:spacing w:after="0"/>
              <w:jc w:val="right"/>
              <w:rPr>
                <w:rFonts w:ascii="Arial" w:hAnsi="Arial" w:cs="Arial"/>
                <w:color w:val="000000"/>
                <w:sz w:val="20"/>
                <w:szCs w:val="20"/>
              </w:rPr>
            </w:pPr>
            <w:r>
              <w:rPr>
                <w:rFonts w:ascii="Arial" w:hAnsi="Arial" w:cs="Arial"/>
                <w:sz w:val="20"/>
                <w:szCs w:val="20"/>
              </w:rPr>
              <w:t>(133.</w:t>
            </w:r>
            <w:r w:rsidR="00963427">
              <w:rPr>
                <w:rFonts w:ascii="Arial" w:hAnsi="Arial" w:cs="Arial"/>
                <w:sz w:val="20"/>
                <w:szCs w:val="20"/>
              </w:rPr>
              <w:t>104</w:t>
            </w:r>
            <w:r>
              <w:rPr>
                <w:rFonts w:ascii="Arial" w:hAnsi="Arial" w:cs="Arial"/>
                <w:sz w:val="20"/>
                <w:szCs w:val="20"/>
              </w:rPr>
              <w:t>)</w:t>
            </w:r>
          </w:p>
        </w:tc>
      </w:tr>
      <w:tr w:rsidR="00A65821" w:rsidRPr="003234C5" w14:paraId="7E61B2C2" w14:textId="77777777" w:rsidTr="00371FB1">
        <w:trPr>
          <w:trHeight w:val="240"/>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70CA33CC" w14:textId="77777777"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Prestação de Serviços</w:t>
            </w:r>
          </w:p>
        </w:tc>
        <w:tc>
          <w:tcPr>
            <w:tcW w:w="1417" w:type="dxa"/>
            <w:tcBorders>
              <w:top w:val="nil"/>
              <w:left w:val="nil"/>
              <w:bottom w:val="single" w:sz="4" w:space="0" w:color="auto"/>
              <w:right w:val="single" w:sz="4" w:space="0" w:color="auto"/>
            </w:tcBorders>
            <w:shd w:val="clear" w:color="auto" w:fill="auto"/>
            <w:noWrap/>
            <w:vAlign w:val="center"/>
          </w:tcPr>
          <w:p w14:paraId="1831FC64" w14:textId="745B3FAE" w:rsidR="00A65821" w:rsidRPr="003234C5" w:rsidRDefault="00445BDE" w:rsidP="00A65821">
            <w:pPr>
              <w:spacing w:after="0"/>
              <w:jc w:val="right"/>
              <w:rPr>
                <w:rFonts w:ascii="Arial" w:hAnsi="Arial" w:cs="Arial"/>
                <w:color w:val="000000"/>
                <w:sz w:val="20"/>
                <w:szCs w:val="20"/>
              </w:rPr>
            </w:pPr>
            <w:r>
              <w:rPr>
                <w:rFonts w:ascii="Arial" w:hAnsi="Arial" w:cs="Arial"/>
                <w:color w:val="000000"/>
                <w:sz w:val="20"/>
                <w:szCs w:val="20"/>
              </w:rPr>
              <w:t>(22)</w:t>
            </w:r>
          </w:p>
        </w:tc>
        <w:tc>
          <w:tcPr>
            <w:tcW w:w="1276" w:type="dxa"/>
            <w:tcBorders>
              <w:top w:val="nil"/>
              <w:left w:val="nil"/>
              <w:bottom w:val="single" w:sz="4" w:space="0" w:color="auto"/>
              <w:right w:val="single" w:sz="4" w:space="0" w:color="auto"/>
            </w:tcBorders>
            <w:vAlign w:val="center"/>
          </w:tcPr>
          <w:p w14:paraId="50AC55BA" w14:textId="6680CBCF" w:rsidR="00A65821" w:rsidRPr="003234C5" w:rsidRDefault="00A65821" w:rsidP="00A65821">
            <w:pPr>
              <w:spacing w:after="0"/>
              <w:jc w:val="right"/>
              <w:rPr>
                <w:rFonts w:ascii="Arial" w:hAnsi="Arial" w:cs="Arial"/>
                <w:color w:val="000000"/>
                <w:sz w:val="20"/>
                <w:szCs w:val="20"/>
              </w:rPr>
            </w:pPr>
            <w:r>
              <w:rPr>
                <w:rFonts w:ascii="Arial" w:hAnsi="Arial" w:cs="Arial"/>
                <w:sz w:val="20"/>
                <w:szCs w:val="20"/>
              </w:rPr>
              <w:t>(2</w:t>
            </w:r>
            <w:r w:rsidR="00963427">
              <w:rPr>
                <w:rFonts w:ascii="Arial" w:hAnsi="Arial" w:cs="Arial"/>
                <w:sz w:val="20"/>
                <w:szCs w:val="20"/>
              </w:rPr>
              <w:t>1</w:t>
            </w:r>
            <w:r>
              <w:rPr>
                <w:rFonts w:ascii="Arial" w:hAnsi="Arial" w:cs="Arial"/>
                <w:sz w:val="20"/>
                <w:szCs w:val="20"/>
              </w:rPr>
              <w:t>)</w:t>
            </w:r>
          </w:p>
        </w:tc>
      </w:tr>
      <w:tr w:rsidR="00A65821" w:rsidRPr="003234C5" w14:paraId="453B723C" w14:textId="77777777" w:rsidTr="00371FB1">
        <w:trPr>
          <w:trHeight w:val="240"/>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0513B5CA" w14:textId="77777777" w:rsidR="00A65821" w:rsidRPr="003234C5" w:rsidRDefault="00A65821" w:rsidP="00A65821">
            <w:pPr>
              <w:spacing w:after="0"/>
              <w:rPr>
                <w:rFonts w:ascii="Arial" w:hAnsi="Arial" w:cs="Arial"/>
                <w:b/>
                <w:bCs/>
                <w:color w:val="000000"/>
                <w:sz w:val="20"/>
                <w:szCs w:val="20"/>
              </w:rPr>
            </w:pPr>
            <w:r w:rsidRPr="003234C5">
              <w:rPr>
                <w:rFonts w:ascii="Arial" w:hAnsi="Arial" w:cs="Arial"/>
                <w:b/>
                <w:bCs/>
                <w:color w:val="000000"/>
                <w:sz w:val="20"/>
                <w:szCs w:val="20"/>
              </w:rPr>
              <w:t>(=) Receita Líquida</w:t>
            </w:r>
          </w:p>
        </w:tc>
        <w:tc>
          <w:tcPr>
            <w:tcW w:w="1417" w:type="dxa"/>
            <w:tcBorders>
              <w:top w:val="nil"/>
              <w:left w:val="nil"/>
              <w:bottom w:val="single" w:sz="4" w:space="0" w:color="auto"/>
              <w:right w:val="single" w:sz="4" w:space="0" w:color="auto"/>
            </w:tcBorders>
            <w:shd w:val="clear" w:color="auto" w:fill="auto"/>
            <w:noWrap/>
            <w:vAlign w:val="center"/>
          </w:tcPr>
          <w:p w14:paraId="6031BCDB" w14:textId="28203E59" w:rsidR="00A65821" w:rsidRPr="003234C5" w:rsidRDefault="00445BDE" w:rsidP="00A65821">
            <w:pPr>
              <w:spacing w:after="0"/>
              <w:jc w:val="right"/>
              <w:rPr>
                <w:rFonts w:ascii="Arial" w:hAnsi="Arial" w:cs="Arial"/>
                <w:b/>
                <w:bCs/>
                <w:color w:val="000000"/>
                <w:sz w:val="20"/>
                <w:szCs w:val="20"/>
              </w:rPr>
            </w:pPr>
            <w:r>
              <w:rPr>
                <w:rFonts w:ascii="Arial" w:hAnsi="Arial" w:cs="Arial"/>
                <w:b/>
                <w:bCs/>
                <w:color w:val="000000"/>
                <w:sz w:val="20"/>
                <w:szCs w:val="20"/>
              </w:rPr>
              <w:t>540.38</w:t>
            </w:r>
            <w:r w:rsidR="00045440">
              <w:rPr>
                <w:rFonts w:ascii="Arial" w:hAnsi="Arial" w:cs="Arial"/>
                <w:b/>
                <w:bCs/>
                <w:color w:val="000000"/>
                <w:sz w:val="20"/>
                <w:szCs w:val="20"/>
              </w:rPr>
              <w:t>4</w:t>
            </w:r>
          </w:p>
        </w:tc>
        <w:tc>
          <w:tcPr>
            <w:tcW w:w="1276" w:type="dxa"/>
            <w:tcBorders>
              <w:top w:val="nil"/>
              <w:left w:val="nil"/>
              <w:bottom w:val="single" w:sz="4" w:space="0" w:color="auto"/>
              <w:right w:val="single" w:sz="4" w:space="0" w:color="auto"/>
            </w:tcBorders>
            <w:vAlign w:val="center"/>
          </w:tcPr>
          <w:p w14:paraId="6F26F96B" w14:textId="6A2C728C" w:rsidR="00A65821" w:rsidRPr="003234C5" w:rsidRDefault="006E1412" w:rsidP="00A65821">
            <w:pPr>
              <w:spacing w:after="0"/>
              <w:jc w:val="right"/>
              <w:rPr>
                <w:rFonts w:ascii="Arial" w:hAnsi="Arial" w:cs="Arial"/>
                <w:b/>
                <w:bCs/>
                <w:color w:val="000000"/>
                <w:sz w:val="20"/>
                <w:szCs w:val="20"/>
              </w:rPr>
            </w:pPr>
            <w:r>
              <w:rPr>
                <w:rFonts w:ascii="Arial" w:hAnsi="Arial" w:cs="Arial"/>
                <w:b/>
                <w:bCs/>
                <w:sz w:val="20"/>
                <w:szCs w:val="20"/>
              </w:rPr>
              <w:t>385.245</w:t>
            </w:r>
          </w:p>
        </w:tc>
      </w:tr>
      <w:tr w:rsidR="00A65821" w:rsidRPr="003234C5" w14:paraId="15874530" w14:textId="77777777" w:rsidTr="00371FB1">
        <w:trPr>
          <w:trHeight w:val="240"/>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149A4516" w14:textId="77777777"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Venda de Gás</w:t>
            </w:r>
          </w:p>
        </w:tc>
        <w:tc>
          <w:tcPr>
            <w:tcW w:w="1417" w:type="dxa"/>
            <w:tcBorders>
              <w:top w:val="nil"/>
              <w:left w:val="nil"/>
              <w:bottom w:val="single" w:sz="4" w:space="0" w:color="auto"/>
              <w:right w:val="single" w:sz="4" w:space="0" w:color="auto"/>
            </w:tcBorders>
            <w:shd w:val="clear" w:color="auto" w:fill="auto"/>
            <w:noWrap/>
            <w:vAlign w:val="center"/>
          </w:tcPr>
          <w:p w14:paraId="7D5915EF" w14:textId="36B6CA12" w:rsidR="00A65821" w:rsidRPr="003234C5" w:rsidRDefault="00445BDE" w:rsidP="00A65821">
            <w:pPr>
              <w:spacing w:after="0"/>
              <w:jc w:val="right"/>
              <w:rPr>
                <w:rFonts w:ascii="Arial" w:hAnsi="Arial" w:cs="Arial"/>
                <w:color w:val="000000"/>
                <w:sz w:val="20"/>
                <w:szCs w:val="20"/>
              </w:rPr>
            </w:pPr>
            <w:r>
              <w:rPr>
                <w:rFonts w:ascii="Arial" w:hAnsi="Arial" w:cs="Arial"/>
                <w:color w:val="000000"/>
                <w:sz w:val="20"/>
                <w:szCs w:val="20"/>
              </w:rPr>
              <w:t>516.12</w:t>
            </w:r>
            <w:r w:rsidR="00785AA2">
              <w:rPr>
                <w:rFonts w:ascii="Arial" w:hAnsi="Arial" w:cs="Arial"/>
                <w:color w:val="000000"/>
                <w:sz w:val="20"/>
                <w:szCs w:val="20"/>
              </w:rPr>
              <w:t>8</w:t>
            </w:r>
          </w:p>
        </w:tc>
        <w:tc>
          <w:tcPr>
            <w:tcW w:w="1276" w:type="dxa"/>
            <w:tcBorders>
              <w:top w:val="nil"/>
              <w:left w:val="nil"/>
              <w:bottom w:val="single" w:sz="4" w:space="0" w:color="auto"/>
              <w:right w:val="single" w:sz="4" w:space="0" w:color="auto"/>
            </w:tcBorders>
            <w:vAlign w:val="center"/>
          </w:tcPr>
          <w:p w14:paraId="5DAB73D3" w14:textId="11FDF5E2" w:rsidR="00A65821" w:rsidRPr="003234C5" w:rsidRDefault="00A65821" w:rsidP="00A65821">
            <w:pPr>
              <w:spacing w:after="0"/>
              <w:jc w:val="right"/>
              <w:rPr>
                <w:rFonts w:ascii="Arial" w:hAnsi="Arial" w:cs="Arial"/>
                <w:color w:val="000000"/>
                <w:sz w:val="20"/>
                <w:szCs w:val="20"/>
              </w:rPr>
            </w:pPr>
            <w:r>
              <w:rPr>
                <w:rFonts w:ascii="Arial" w:hAnsi="Arial" w:cs="Arial"/>
                <w:sz w:val="20"/>
                <w:szCs w:val="20"/>
              </w:rPr>
              <w:t>366.167</w:t>
            </w:r>
          </w:p>
        </w:tc>
      </w:tr>
      <w:tr w:rsidR="00A65821" w:rsidRPr="003234C5" w14:paraId="14CAD21D" w14:textId="77777777" w:rsidTr="00371FB1">
        <w:trPr>
          <w:trHeight w:val="240"/>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01760C9F" w14:textId="77777777"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Prestação de Serviços</w:t>
            </w:r>
          </w:p>
        </w:tc>
        <w:tc>
          <w:tcPr>
            <w:tcW w:w="1417" w:type="dxa"/>
            <w:tcBorders>
              <w:top w:val="nil"/>
              <w:left w:val="nil"/>
              <w:bottom w:val="single" w:sz="4" w:space="0" w:color="auto"/>
              <w:right w:val="single" w:sz="4" w:space="0" w:color="auto"/>
            </w:tcBorders>
            <w:shd w:val="clear" w:color="auto" w:fill="auto"/>
            <w:noWrap/>
            <w:vAlign w:val="center"/>
          </w:tcPr>
          <w:p w14:paraId="28CEDC7F" w14:textId="1D9F6A56" w:rsidR="00A65821" w:rsidRPr="003234C5" w:rsidRDefault="00445BDE" w:rsidP="00A65821">
            <w:pPr>
              <w:spacing w:after="0"/>
              <w:jc w:val="right"/>
              <w:rPr>
                <w:rFonts w:ascii="Arial" w:hAnsi="Arial" w:cs="Arial"/>
                <w:color w:val="000000"/>
                <w:sz w:val="20"/>
                <w:szCs w:val="20"/>
              </w:rPr>
            </w:pPr>
            <w:r>
              <w:rPr>
                <w:rFonts w:ascii="Arial" w:hAnsi="Arial" w:cs="Arial"/>
                <w:color w:val="000000"/>
                <w:sz w:val="20"/>
                <w:szCs w:val="20"/>
              </w:rPr>
              <w:t>211</w:t>
            </w:r>
          </w:p>
        </w:tc>
        <w:tc>
          <w:tcPr>
            <w:tcW w:w="1276" w:type="dxa"/>
            <w:tcBorders>
              <w:top w:val="nil"/>
              <w:left w:val="nil"/>
              <w:bottom w:val="single" w:sz="4" w:space="0" w:color="auto"/>
              <w:right w:val="single" w:sz="4" w:space="0" w:color="auto"/>
            </w:tcBorders>
            <w:vAlign w:val="center"/>
          </w:tcPr>
          <w:p w14:paraId="22EDB879" w14:textId="66069DF0" w:rsidR="00A65821" w:rsidRPr="003234C5" w:rsidRDefault="00A65821" w:rsidP="00A65821">
            <w:pPr>
              <w:spacing w:after="0"/>
              <w:jc w:val="right"/>
              <w:rPr>
                <w:rFonts w:ascii="Arial" w:hAnsi="Arial" w:cs="Arial"/>
                <w:color w:val="000000"/>
                <w:sz w:val="20"/>
                <w:szCs w:val="20"/>
              </w:rPr>
            </w:pPr>
            <w:r>
              <w:rPr>
                <w:rFonts w:ascii="Arial" w:hAnsi="Arial" w:cs="Arial"/>
                <w:sz w:val="20"/>
                <w:szCs w:val="20"/>
              </w:rPr>
              <w:t>21</w:t>
            </w:r>
            <w:r w:rsidR="00213B3C">
              <w:rPr>
                <w:rFonts w:ascii="Arial" w:hAnsi="Arial" w:cs="Arial"/>
                <w:sz w:val="20"/>
                <w:szCs w:val="20"/>
              </w:rPr>
              <w:t>4</w:t>
            </w:r>
          </w:p>
        </w:tc>
      </w:tr>
      <w:tr w:rsidR="00B179BA" w:rsidRPr="003234C5" w14:paraId="06623130" w14:textId="77777777" w:rsidTr="00371FB1">
        <w:trPr>
          <w:trHeight w:val="240"/>
          <w:jc w:val="center"/>
        </w:trPr>
        <w:tc>
          <w:tcPr>
            <w:tcW w:w="63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69B79" w14:textId="005BBD0A" w:rsidR="00B179BA" w:rsidRPr="003234C5" w:rsidRDefault="00B179BA" w:rsidP="00B179BA">
            <w:pPr>
              <w:spacing w:after="0"/>
              <w:rPr>
                <w:rFonts w:ascii="Arial" w:hAnsi="Arial" w:cs="Arial"/>
                <w:sz w:val="20"/>
                <w:szCs w:val="20"/>
              </w:rPr>
            </w:pPr>
            <w:bookmarkStart w:id="42" w:name="_Hlk506333236"/>
            <w:r w:rsidRPr="003234C5">
              <w:rPr>
                <w:rFonts w:ascii="Arial" w:hAnsi="Arial" w:cs="Arial"/>
                <w:sz w:val="20"/>
                <w:szCs w:val="20"/>
              </w:rPr>
              <w:t xml:space="preserve">   Receita de Construção</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D472C99" w14:textId="502796D8" w:rsidR="00B179BA" w:rsidRPr="003234C5" w:rsidRDefault="00445BDE" w:rsidP="00B179BA">
            <w:pPr>
              <w:spacing w:after="0"/>
              <w:jc w:val="right"/>
              <w:rPr>
                <w:rFonts w:ascii="Arial" w:hAnsi="Arial" w:cs="Arial"/>
                <w:sz w:val="20"/>
                <w:szCs w:val="20"/>
              </w:rPr>
            </w:pPr>
            <w:r>
              <w:rPr>
                <w:rFonts w:ascii="Arial" w:hAnsi="Arial" w:cs="Arial"/>
                <w:sz w:val="20"/>
                <w:szCs w:val="20"/>
              </w:rPr>
              <w:t>24.045</w:t>
            </w:r>
          </w:p>
        </w:tc>
        <w:tc>
          <w:tcPr>
            <w:tcW w:w="1276" w:type="dxa"/>
            <w:tcBorders>
              <w:top w:val="single" w:sz="4" w:space="0" w:color="auto"/>
              <w:left w:val="nil"/>
              <w:bottom w:val="single" w:sz="4" w:space="0" w:color="auto"/>
              <w:right w:val="single" w:sz="4" w:space="0" w:color="auto"/>
            </w:tcBorders>
            <w:vAlign w:val="center"/>
          </w:tcPr>
          <w:p w14:paraId="2E86D9E7" w14:textId="43298583" w:rsidR="00B179BA" w:rsidRPr="003234C5" w:rsidRDefault="00DA11DB" w:rsidP="00B179BA">
            <w:pPr>
              <w:spacing w:after="0"/>
              <w:jc w:val="right"/>
              <w:rPr>
                <w:rFonts w:ascii="Arial" w:hAnsi="Arial" w:cs="Arial"/>
                <w:sz w:val="20"/>
                <w:szCs w:val="20"/>
              </w:rPr>
            </w:pPr>
            <w:r>
              <w:rPr>
                <w:rFonts w:ascii="Arial" w:hAnsi="Arial" w:cs="Arial"/>
                <w:sz w:val="20"/>
                <w:szCs w:val="20"/>
              </w:rPr>
              <w:t>18.864</w:t>
            </w:r>
          </w:p>
        </w:tc>
      </w:tr>
      <w:bookmarkEnd w:id="42"/>
    </w:tbl>
    <w:p w14:paraId="7545A7E4" w14:textId="77777777" w:rsidR="009A404B" w:rsidRPr="003234C5" w:rsidRDefault="009A404B" w:rsidP="00200682">
      <w:pPr>
        <w:jc w:val="both"/>
        <w:rPr>
          <w:rFonts w:ascii="Arial" w:hAnsi="Arial" w:cs="Arial"/>
        </w:rPr>
      </w:pPr>
    </w:p>
    <w:p w14:paraId="1F7A04ED" w14:textId="7460C363" w:rsidR="00A018C1" w:rsidRPr="003234C5" w:rsidRDefault="00200682" w:rsidP="0075218C">
      <w:pPr>
        <w:jc w:val="both"/>
        <w:rPr>
          <w:rFonts w:ascii="Arial" w:hAnsi="Arial" w:cs="Arial"/>
        </w:rPr>
      </w:pPr>
      <w:r w:rsidRPr="003234C5">
        <w:rPr>
          <w:rFonts w:ascii="Arial" w:hAnsi="Arial" w:cs="Arial"/>
        </w:rPr>
        <w:t>Nas deduções da Receita Bruta</w:t>
      </w:r>
      <w:r w:rsidR="00EA76E3" w:rsidRPr="003234C5">
        <w:rPr>
          <w:rFonts w:ascii="Arial" w:hAnsi="Arial" w:cs="Arial"/>
        </w:rPr>
        <w:t>,</w:t>
      </w:r>
      <w:r w:rsidRPr="003234C5">
        <w:rPr>
          <w:rFonts w:ascii="Arial" w:hAnsi="Arial" w:cs="Arial"/>
        </w:rPr>
        <w:t xml:space="preserve"> foi considerado o Decreto nº 24.569/97, do Governo do Estado do Ceará, através da Secretaria da Fazenda, que determina atribuir à Companhia a condição de sujeito passivo por substituição tributária, nas operações de aquisição de gás natural.</w:t>
      </w:r>
    </w:p>
    <w:p w14:paraId="1F80CE61" w14:textId="663939B1" w:rsidR="00200682" w:rsidRPr="003234C5" w:rsidRDefault="00200682" w:rsidP="00200682">
      <w:pPr>
        <w:jc w:val="both"/>
        <w:rPr>
          <w:rFonts w:ascii="Arial" w:hAnsi="Arial" w:cs="Arial"/>
          <w:b/>
        </w:rPr>
      </w:pPr>
      <w:r w:rsidRPr="003234C5">
        <w:rPr>
          <w:rFonts w:ascii="Arial" w:hAnsi="Arial" w:cs="Arial"/>
          <w:b/>
        </w:rPr>
        <w:t>NOTA 2</w:t>
      </w:r>
      <w:r w:rsidR="005953BA">
        <w:rPr>
          <w:rFonts w:ascii="Arial" w:hAnsi="Arial" w:cs="Arial"/>
          <w:b/>
        </w:rPr>
        <w:t>9</w:t>
      </w:r>
      <w:r w:rsidRPr="003234C5">
        <w:rPr>
          <w:rFonts w:ascii="Arial" w:hAnsi="Arial" w:cs="Arial"/>
          <w:b/>
        </w:rPr>
        <w:t>. CUSTOS DOS PRODUTOS VENDIDOS E SERVIÇOS PRESTADOS POR NATUREZA</w:t>
      </w:r>
    </w:p>
    <w:p w14:paraId="1F9865C8" w14:textId="0E6BDD44" w:rsidR="00E70F9A" w:rsidRPr="003234C5" w:rsidRDefault="00200682" w:rsidP="00200682">
      <w:pPr>
        <w:jc w:val="both"/>
        <w:rPr>
          <w:rFonts w:ascii="Arial" w:hAnsi="Arial" w:cs="Arial"/>
        </w:rPr>
      </w:pPr>
      <w:r w:rsidRPr="003234C5">
        <w:rPr>
          <w:rFonts w:ascii="Arial" w:hAnsi="Arial" w:cs="Arial"/>
        </w:rPr>
        <w:t>O custo dos produtos vendidos e serviços prestados por natureza estão demonstrados na tabela abaixo:</w:t>
      </w:r>
    </w:p>
    <w:tbl>
      <w:tblPr>
        <w:tblW w:w="8932" w:type="dxa"/>
        <w:jc w:val="center"/>
        <w:tblCellMar>
          <w:left w:w="70" w:type="dxa"/>
          <w:right w:w="70" w:type="dxa"/>
        </w:tblCellMar>
        <w:tblLook w:val="04A0" w:firstRow="1" w:lastRow="0" w:firstColumn="1" w:lastColumn="0" w:noHBand="0" w:noVBand="1"/>
      </w:tblPr>
      <w:tblGrid>
        <w:gridCol w:w="6380"/>
        <w:gridCol w:w="1276"/>
        <w:gridCol w:w="1276"/>
      </w:tblGrid>
      <w:tr w:rsidR="00521D1E" w:rsidRPr="003234C5" w14:paraId="7865C6AA" w14:textId="77777777" w:rsidTr="00371FB1">
        <w:trPr>
          <w:trHeight w:val="264"/>
          <w:jc w:val="center"/>
        </w:trPr>
        <w:tc>
          <w:tcPr>
            <w:tcW w:w="638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906BBCC" w14:textId="77777777" w:rsidR="00521D1E" w:rsidRPr="003234C5" w:rsidRDefault="00521D1E" w:rsidP="00521D1E">
            <w:pPr>
              <w:spacing w:after="0"/>
              <w:rPr>
                <w:rFonts w:ascii="Arial" w:hAnsi="Arial" w:cs="Arial"/>
                <w:b/>
                <w:bCs/>
                <w:color w:val="000000"/>
                <w:sz w:val="20"/>
                <w:szCs w:val="20"/>
              </w:rPr>
            </w:pPr>
            <w:r w:rsidRPr="003234C5">
              <w:rPr>
                <w:rFonts w:ascii="Arial" w:hAnsi="Arial" w:cs="Arial"/>
                <w:b/>
                <w:bCs/>
                <w:color w:val="000000"/>
                <w:sz w:val="20"/>
                <w:szCs w:val="20"/>
              </w:rPr>
              <w:t>DESCRIÇÃO</w:t>
            </w:r>
          </w:p>
        </w:tc>
        <w:tc>
          <w:tcPr>
            <w:tcW w:w="1276" w:type="dxa"/>
            <w:tcBorders>
              <w:top w:val="single" w:sz="4" w:space="0" w:color="auto"/>
              <w:left w:val="nil"/>
              <w:bottom w:val="single" w:sz="4" w:space="0" w:color="auto"/>
              <w:right w:val="single" w:sz="4" w:space="0" w:color="auto"/>
            </w:tcBorders>
            <w:shd w:val="clear" w:color="000000" w:fill="D8D8D8"/>
            <w:vAlign w:val="bottom"/>
          </w:tcPr>
          <w:p w14:paraId="625F3A0E" w14:textId="5D69A1B8" w:rsidR="00521D1E" w:rsidRPr="003234C5" w:rsidRDefault="00C6257E" w:rsidP="00521D1E">
            <w:pPr>
              <w:spacing w:after="0"/>
              <w:jc w:val="center"/>
              <w:rPr>
                <w:rFonts w:ascii="Arial" w:hAnsi="Arial" w:cs="Arial"/>
                <w:b/>
                <w:bCs/>
                <w:color w:val="000000"/>
                <w:sz w:val="20"/>
                <w:szCs w:val="20"/>
              </w:rPr>
            </w:pPr>
            <w:r>
              <w:rPr>
                <w:rFonts w:ascii="Arial" w:hAnsi="Arial" w:cs="Arial"/>
                <w:b/>
                <w:bCs/>
                <w:color w:val="000000"/>
                <w:sz w:val="20"/>
                <w:szCs w:val="20"/>
              </w:rPr>
              <w:t>2019</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A4306B8" w14:textId="3EF4892D" w:rsidR="00521D1E" w:rsidRPr="003234C5" w:rsidRDefault="00C6257E" w:rsidP="00521D1E">
            <w:pPr>
              <w:spacing w:after="0"/>
              <w:jc w:val="center"/>
              <w:rPr>
                <w:rFonts w:ascii="Arial" w:hAnsi="Arial" w:cs="Arial"/>
                <w:b/>
                <w:bCs/>
                <w:color w:val="000000"/>
                <w:sz w:val="20"/>
                <w:szCs w:val="20"/>
              </w:rPr>
            </w:pPr>
            <w:r>
              <w:rPr>
                <w:rFonts w:ascii="Arial" w:hAnsi="Arial" w:cs="Arial"/>
                <w:b/>
                <w:bCs/>
                <w:color w:val="000000"/>
                <w:sz w:val="20"/>
                <w:szCs w:val="20"/>
              </w:rPr>
              <w:t>2018</w:t>
            </w:r>
          </w:p>
        </w:tc>
      </w:tr>
      <w:tr w:rsidR="00A65821" w:rsidRPr="003234C5" w14:paraId="0993C057" w14:textId="77777777" w:rsidTr="00371FB1">
        <w:trPr>
          <w:trHeight w:val="265"/>
          <w:jc w:val="center"/>
        </w:trPr>
        <w:tc>
          <w:tcPr>
            <w:tcW w:w="638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383517B" w14:textId="04BBD441" w:rsidR="00A65821" w:rsidRPr="003234C5" w:rsidRDefault="00A65821" w:rsidP="00A65821">
            <w:pPr>
              <w:spacing w:after="0"/>
              <w:rPr>
                <w:rFonts w:ascii="Arial" w:hAnsi="Arial" w:cs="Arial"/>
                <w:bCs/>
                <w:color w:val="000000"/>
                <w:sz w:val="20"/>
                <w:szCs w:val="20"/>
              </w:rPr>
            </w:pPr>
            <w:r w:rsidRPr="003234C5">
              <w:rPr>
                <w:rFonts w:ascii="Arial" w:hAnsi="Arial" w:cs="Arial"/>
                <w:bCs/>
                <w:color w:val="000000"/>
                <w:sz w:val="20"/>
                <w:szCs w:val="20"/>
              </w:rPr>
              <w:t xml:space="preserve"> Custo de Aquisição do Gás Natural</w:t>
            </w:r>
          </w:p>
        </w:tc>
        <w:tc>
          <w:tcPr>
            <w:tcW w:w="1276" w:type="dxa"/>
            <w:tcBorders>
              <w:top w:val="single" w:sz="4" w:space="0" w:color="auto"/>
              <w:left w:val="nil"/>
              <w:bottom w:val="single" w:sz="4" w:space="0" w:color="auto"/>
              <w:right w:val="single" w:sz="4" w:space="0" w:color="auto"/>
            </w:tcBorders>
            <w:shd w:val="clear" w:color="000000" w:fill="auto"/>
            <w:vAlign w:val="center"/>
          </w:tcPr>
          <w:p w14:paraId="0FD9C0EA" w14:textId="53F8A604" w:rsidR="00A65821" w:rsidRPr="003234C5" w:rsidRDefault="00427BD0" w:rsidP="00A65821">
            <w:pPr>
              <w:spacing w:after="0"/>
              <w:jc w:val="right"/>
              <w:rPr>
                <w:rFonts w:ascii="Arial" w:hAnsi="Arial" w:cs="Arial"/>
                <w:bCs/>
                <w:color w:val="000000"/>
                <w:sz w:val="20"/>
                <w:szCs w:val="20"/>
              </w:rPr>
            </w:pPr>
            <w:r>
              <w:rPr>
                <w:rFonts w:ascii="Arial" w:hAnsi="Arial" w:cs="Arial"/>
                <w:bCs/>
                <w:color w:val="000000"/>
                <w:sz w:val="20"/>
                <w:szCs w:val="20"/>
              </w:rPr>
              <w:t>(</w:t>
            </w:r>
            <w:r w:rsidR="00966045">
              <w:rPr>
                <w:rFonts w:ascii="Arial" w:hAnsi="Arial" w:cs="Arial"/>
                <w:bCs/>
                <w:color w:val="000000"/>
                <w:sz w:val="20"/>
                <w:szCs w:val="20"/>
              </w:rPr>
              <w:t>404.322</w:t>
            </w:r>
            <w:r>
              <w:rPr>
                <w:rFonts w:ascii="Arial" w:hAnsi="Arial" w:cs="Arial"/>
                <w:bCs/>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2FCA93C5" w14:textId="48ACEDBA" w:rsidR="00A65821" w:rsidRPr="003234C5" w:rsidRDefault="00427BD0" w:rsidP="00A65821">
            <w:pPr>
              <w:spacing w:after="0"/>
              <w:jc w:val="right"/>
              <w:rPr>
                <w:rFonts w:ascii="Arial" w:hAnsi="Arial" w:cs="Arial"/>
                <w:bCs/>
                <w:color w:val="000000"/>
                <w:sz w:val="20"/>
                <w:szCs w:val="20"/>
              </w:rPr>
            </w:pPr>
            <w:r>
              <w:rPr>
                <w:rFonts w:ascii="Arial" w:hAnsi="Arial" w:cs="Arial"/>
                <w:color w:val="000000"/>
                <w:sz w:val="20"/>
                <w:szCs w:val="20"/>
              </w:rPr>
              <w:t>(</w:t>
            </w:r>
            <w:r w:rsidR="00A65821">
              <w:rPr>
                <w:rFonts w:ascii="Arial" w:hAnsi="Arial" w:cs="Arial"/>
                <w:color w:val="000000"/>
                <w:sz w:val="20"/>
                <w:szCs w:val="20"/>
              </w:rPr>
              <w:t>266.028</w:t>
            </w:r>
            <w:r>
              <w:rPr>
                <w:rFonts w:ascii="Arial" w:hAnsi="Arial" w:cs="Arial"/>
                <w:color w:val="000000"/>
                <w:sz w:val="20"/>
                <w:szCs w:val="20"/>
              </w:rPr>
              <w:t>)</w:t>
            </w:r>
          </w:p>
        </w:tc>
      </w:tr>
      <w:tr w:rsidR="00A65821" w:rsidRPr="003234C5" w14:paraId="0EE8FCB8" w14:textId="77777777" w:rsidTr="00371FB1">
        <w:trPr>
          <w:trHeight w:val="264"/>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04467FEF" w14:textId="621DB010"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Custo de Pessoal</w:t>
            </w:r>
          </w:p>
        </w:tc>
        <w:tc>
          <w:tcPr>
            <w:tcW w:w="1276" w:type="dxa"/>
            <w:tcBorders>
              <w:top w:val="nil"/>
              <w:left w:val="nil"/>
              <w:bottom w:val="single" w:sz="4" w:space="0" w:color="auto"/>
              <w:right w:val="single" w:sz="4" w:space="0" w:color="auto"/>
            </w:tcBorders>
            <w:vAlign w:val="center"/>
          </w:tcPr>
          <w:p w14:paraId="1FA69B63" w14:textId="2E626B9F" w:rsidR="00A65821" w:rsidRPr="003234C5" w:rsidRDefault="00427BD0" w:rsidP="00A65821">
            <w:pPr>
              <w:spacing w:after="0"/>
              <w:jc w:val="right"/>
              <w:rPr>
                <w:rFonts w:ascii="Arial" w:hAnsi="Arial" w:cs="Arial"/>
                <w:bCs/>
                <w:color w:val="000000"/>
                <w:sz w:val="20"/>
                <w:szCs w:val="20"/>
              </w:rPr>
            </w:pPr>
            <w:r>
              <w:rPr>
                <w:rFonts w:ascii="Arial" w:hAnsi="Arial" w:cs="Arial"/>
                <w:bCs/>
                <w:color w:val="000000"/>
                <w:sz w:val="20"/>
                <w:szCs w:val="20"/>
              </w:rPr>
              <w:t>(</w:t>
            </w:r>
            <w:r w:rsidR="00966045">
              <w:rPr>
                <w:rFonts w:ascii="Arial" w:hAnsi="Arial" w:cs="Arial"/>
                <w:bCs/>
                <w:color w:val="000000"/>
                <w:sz w:val="20"/>
                <w:szCs w:val="20"/>
              </w:rPr>
              <w:t>4.189</w:t>
            </w:r>
            <w:r>
              <w:rPr>
                <w:rFonts w:ascii="Arial" w:hAnsi="Arial" w:cs="Arial"/>
                <w:bCs/>
                <w:color w:val="000000"/>
                <w:sz w:val="20"/>
                <w:szCs w:val="20"/>
              </w:rPr>
              <w: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5A3FB35" w14:textId="14F1373B" w:rsidR="00A65821" w:rsidRPr="003234C5" w:rsidRDefault="00427BD0" w:rsidP="00A65821">
            <w:pPr>
              <w:spacing w:after="0"/>
              <w:jc w:val="right"/>
              <w:rPr>
                <w:rFonts w:ascii="Arial" w:hAnsi="Arial" w:cs="Arial"/>
                <w:bCs/>
                <w:color w:val="000000"/>
                <w:sz w:val="20"/>
                <w:szCs w:val="20"/>
              </w:rPr>
            </w:pPr>
            <w:r>
              <w:rPr>
                <w:rFonts w:ascii="Arial" w:hAnsi="Arial" w:cs="Arial"/>
                <w:color w:val="000000"/>
                <w:sz w:val="20"/>
                <w:szCs w:val="20"/>
              </w:rPr>
              <w:t>(</w:t>
            </w:r>
            <w:r w:rsidR="00A65821">
              <w:rPr>
                <w:rFonts w:ascii="Arial" w:hAnsi="Arial" w:cs="Arial"/>
                <w:color w:val="000000"/>
                <w:sz w:val="20"/>
                <w:szCs w:val="20"/>
              </w:rPr>
              <w:t>3.414</w:t>
            </w:r>
            <w:r>
              <w:rPr>
                <w:rFonts w:ascii="Arial" w:hAnsi="Arial" w:cs="Arial"/>
                <w:color w:val="000000"/>
                <w:sz w:val="20"/>
                <w:szCs w:val="20"/>
              </w:rPr>
              <w:t>)</w:t>
            </w:r>
          </w:p>
        </w:tc>
      </w:tr>
      <w:tr w:rsidR="00A65821" w:rsidRPr="003234C5" w14:paraId="00259636" w14:textId="77777777" w:rsidTr="00371FB1">
        <w:trPr>
          <w:trHeight w:val="265"/>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1B33D7DE" w14:textId="00820508"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Custo dos Serviços Prestados</w:t>
            </w:r>
          </w:p>
        </w:tc>
        <w:tc>
          <w:tcPr>
            <w:tcW w:w="1276" w:type="dxa"/>
            <w:tcBorders>
              <w:top w:val="nil"/>
              <w:left w:val="nil"/>
              <w:bottom w:val="single" w:sz="4" w:space="0" w:color="auto"/>
              <w:right w:val="single" w:sz="4" w:space="0" w:color="auto"/>
            </w:tcBorders>
            <w:vAlign w:val="center"/>
          </w:tcPr>
          <w:p w14:paraId="2EED1BE4" w14:textId="10C777A0" w:rsidR="00A65821" w:rsidRPr="003234C5" w:rsidRDefault="00427BD0" w:rsidP="00A65821">
            <w:pPr>
              <w:spacing w:after="0"/>
              <w:jc w:val="right"/>
              <w:rPr>
                <w:rFonts w:ascii="Arial" w:hAnsi="Arial" w:cs="Arial"/>
                <w:bCs/>
                <w:color w:val="000000"/>
                <w:sz w:val="20"/>
                <w:szCs w:val="20"/>
              </w:rPr>
            </w:pPr>
            <w:r>
              <w:rPr>
                <w:rFonts w:ascii="Arial" w:hAnsi="Arial" w:cs="Arial"/>
                <w:bCs/>
                <w:color w:val="000000"/>
                <w:sz w:val="20"/>
                <w:szCs w:val="20"/>
              </w:rPr>
              <w:t>(</w:t>
            </w:r>
            <w:r w:rsidR="00966045">
              <w:rPr>
                <w:rFonts w:ascii="Arial" w:hAnsi="Arial" w:cs="Arial"/>
                <w:bCs/>
                <w:color w:val="000000"/>
                <w:sz w:val="20"/>
                <w:szCs w:val="20"/>
              </w:rPr>
              <w:t>4.672</w:t>
            </w:r>
            <w:r>
              <w:rPr>
                <w:rFonts w:ascii="Arial" w:hAnsi="Arial" w:cs="Arial"/>
                <w:bCs/>
                <w:color w:val="000000"/>
                <w:sz w:val="20"/>
                <w:szCs w:val="20"/>
              </w:rPr>
              <w: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953D52A" w14:textId="340552C0" w:rsidR="00A65821" w:rsidRPr="003234C5" w:rsidRDefault="00427BD0" w:rsidP="00A65821">
            <w:pPr>
              <w:spacing w:after="0"/>
              <w:jc w:val="right"/>
              <w:rPr>
                <w:rFonts w:ascii="Arial" w:hAnsi="Arial" w:cs="Arial"/>
                <w:bCs/>
                <w:color w:val="000000"/>
                <w:sz w:val="20"/>
                <w:szCs w:val="20"/>
              </w:rPr>
            </w:pPr>
            <w:r>
              <w:rPr>
                <w:rFonts w:ascii="Arial" w:hAnsi="Arial" w:cs="Arial"/>
                <w:color w:val="000000"/>
                <w:sz w:val="20"/>
                <w:szCs w:val="20"/>
              </w:rPr>
              <w:t>(</w:t>
            </w:r>
            <w:r w:rsidR="00A65821">
              <w:rPr>
                <w:rFonts w:ascii="Arial" w:hAnsi="Arial" w:cs="Arial"/>
                <w:color w:val="000000"/>
                <w:sz w:val="20"/>
                <w:szCs w:val="20"/>
              </w:rPr>
              <w:t>5.216</w:t>
            </w:r>
            <w:r>
              <w:rPr>
                <w:rFonts w:ascii="Arial" w:hAnsi="Arial" w:cs="Arial"/>
                <w:color w:val="000000"/>
                <w:sz w:val="20"/>
                <w:szCs w:val="20"/>
              </w:rPr>
              <w:t>)</w:t>
            </w:r>
          </w:p>
        </w:tc>
      </w:tr>
      <w:tr w:rsidR="00A65821" w:rsidRPr="003234C5" w14:paraId="12C79F9D" w14:textId="77777777" w:rsidTr="00371FB1">
        <w:trPr>
          <w:trHeight w:val="264"/>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3D0042F3" w14:textId="0E9914EE" w:rsidR="00A65821" w:rsidRPr="003234C5" w:rsidRDefault="00A65821" w:rsidP="00A65821">
            <w:pPr>
              <w:spacing w:after="0"/>
              <w:rPr>
                <w:rFonts w:ascii="Arial" w:hAnsi="Arial" w:cs="Arial"/>
                <w:bCs/>
                <w:color w:val="000000"/>
                <w:sz w:val="20"/>
                <w:szCs w:val="20"/>
              </w:rPr>
            </w:pPr>
            <w:r w:rsidRPr="003234C5">
              <w:rPr>
                <w:rFonts w:ascii="Arial" w:hAnsi="Arial" w:cs="Arial"/>
                <w:bCs/>
                <w:color w:val="000000"/>
                <w:sz w:val="20"/>
                <w:szCs w:val="20"/>
              </w:rPr>
              <w:t xml:space="preserve"> Custo de Aquisição de Materiais</w:t>
            </w:r>
          </w:p>
        </w:tc>
        <w:tc>
          <w:tcPr>
            <w:tcW w:w="1276" w:type="dxa"/>
            <w:tcBorders>
              <w:top w:val="nil"/>
              <w:left w:val="nil"/>
              <w:bottom w:val="single" w:sz="4" w:space="0" w:color="auto"/>
              <w:right w:val="single" w:sz="4" w:space="0" w:color="auto"/>
            </w:tcBorders>
            <w:vAlign w:val="center"/>
          </w:tcPr>
          <w:p w14:paraId="4E1539FF" w14:textId="73E285B4" w:rsidR="00A65821" w:rsidRPr="003234C5" w:rsidRDefault="00427BD0" w:rsidP="00A65821">
            <w:pPr>
              <w:spacing w:after="0"/>
              <w:jc w:val="right"/>
              <w:rPr>
                <w:rFonts w:ascii="Arial" w:hAnsi="Arial" w:cs="Arial"/>
                <w:bCs/>
                <w:color w:val="000000"/>
                <w:sz w:val="20"/>
                <w:szCs w:val="20"/>
              </w:rPr>
            </w:pPr>
            <w:r>
              <w:rPr>
                <w:rFonts w:ascii="Arial" w:hAnsi="Arial" w:cs="Arial"/>
                <w:bCs/>
                <w:color w:val="000000"/>
                <w:sz w:val="20"/>
                <w:szCs w:val="20"/>
              </w:rPr>
              <w:t>(</w:t>
            </w:r>
            <w:r w:rsidR="00966045">
              <w:rPr>
                <w:rFonts w:ascii="Arial" w:hAnsi="Arial" w:cs="Arial"/>
                <w:bCs/>
                <w:color w:val="000000"/>
                <w:sz w:val="20"/>
                <w:szCs w:val="20"/>
              </w:rPr>
              <w:t>411</w:t>
            </w:r>
            <w:r>
              <w:rPr>
                <w:rFonts w:ascii="Arial" w:hAnsi="Arial" w:cs="Arial"/>
                <w:bCs/>
                <w:color w:val="000000"/>
                <w:sz w:val="20"/>
                <w:szCs w:val="20"/>
              </w:rPr>
              <w: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F5ECC12" w14:textId="17B3B8A3" w:rsidR="00A65821" w:rsidRPr="003234C5" w:rsidRDefault="00427BD0" w:rsidP="00A65821">
            <w:pPr>
              <w:spacing w:after="0"/>
              <w:jc w:val="right"/>
              <w:rPr>
                <w:rFonts w:ascii="Arial" w:hAnsi="Arial" w:cs="Arial"/>
                <w:bCs/>
                <w:color w:val="000000"/>
                <w:sz w:val="20"/>
                <w:szCs w:val="20"/>
              </w:rPr>
            </w:pPr>
            <w:r>
              <w:rPr>
                <w:rFonts w:ascii="Arial" w:hAnsi="Arial" w:cs="Arial"/>
                <w:color w:val="000000"/>
                <w:sz w:val="20"/>
                <w:szCs w:val="20"/>
              </w:rPr>
              <w:t>(</w:t>
            </w:r>
            <w:r w:rsidR="00A65821">
              <w:rPr>
                <w:rFonts w:ascii="Arial" w:hAnsi="Arial" w:cs="Arial"/>
                <w:color w:val="000000"/>
                <w:sz w:val="20"/>
                <w:szCs w:val="20"/>
              </w:rPr>
              <w:t>592</w:t>
            </w:r>
            <w:r>
              <w:rPr>
                <w:rFonts w:ascii="Arial" w:hAnsi="Arial" w:cs="Arial"/>
                <w:color w:val="000000"/>
                <w:sz w:val="20"/>
                <w:szCs w:val="20"/>
              </w:rPr>
              <w:t>)</w:t>
            </w:r>
          </w:p>
        </w:tc>
      </w:tr>
      <w:tr w:rsidR="00A65821" w:rsidRPr="003234C5" w14:paraId="17315EB8" w14:textId="77777777" w:rsidTr="00371FB1">
        <w:trPr>
          <w:trHeight w:val="265"/>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0F43120B" w14:textId="46D5A92B" w:rsidR="00A65821" w:rsidRPr="003234C5" w:rsidRDefault="00A65821" w:rsidP="00A65821">
            <w:pPr>
              <w:spacing w:after="0"/>
              <w:rPr>
                <w:rFonts w:ascii="Arial" w:hAnsi="Arial" w:cs="Arial"/>
                <w:bCs/>
                <w:color w:val="000000"/>
                <w:sz w:val="20"/>
                <w:szCs w:val="20"/>
              </w:rPr>
            </w:pPr>
            <w:r w:rsidRPr="003234C5">
              <w:rPr>
                <w:rFonts w:ascii="Arial" w:hAnsi="Arial" w:cs="Arial"/>
                <w:bCs/>
                <w:color w:val="000000"/>
                <w:sz w:val="20"/>
                <w:szCs w:val="20"/>
              </w:rPr>
              <w:t xml:space="preserve"> Custo de Amortização Operacional</w:t>
            </w:r>
          </w:p>
        </w:tc>
        <w:tc>
          <w:tcPr>
            <w:tcW w:w="1276" w:type="dxa"/>
            <w:tcBorders>
              <w:top w:val="nil"/>
              <w:left w:val="nil"/>
              <w:bottom w:val="single" w:sz="4" w:space="0" w:color="auto"/>
              <w:right w:val="single" w:sz="4" w:space="0" w:color="auto"/>
            </w:tcBorders>
            <w:vAlign w:val="center"/>
          </w:tcPr>
          <w:p w14:paraId="1B17F8D4" w14:textId="45125556" w:rsidR="00A65821" w:rsidRPr="003234C5" w:rsidRDefault="00427BD0" w:rsidP="00A65821">
            <w:pPr>
              <w:spacing w:after="0"/>
              <w:jc w:val="right"/>
              <w:rPr>
                <w:rFonts w:ascii="Arial" w:hAnsi="Arial" w:cs="Arial"/>
                <w:bCs/>
                <w:color w:val="000000"/>
                <w:sz w:val="20"/>
                <w:szCs w:val="20"/>
              </w:rPr>
            </w:pPr>
            <w:r>
              <w:rPr>
                <w:rFonts w:ascii="Arial" w:hAnsi="Arial" w:cs="Arial"/>
                <w:bCs/>
                <w:color w:val="000000"/>
                <w:sz w:val="20"/>
                <w:szCs w:val="20"/>
              </w:rPr>
              <w:t>(</w:t>
            </w:r>
            <w:r w:rsidR="00966045">
              <w:rPr>
                <w:rFonts w:ascii="Arial" w:hAnsi="Arial" w:cs="Arial"/>
                <w:bCs/>
                <w:color w:val="000000"/>
                <w:sz w:val="20"/>
                <w:szCs w:val="20"/>
              </w:rPr>
              <w:t>13.445</w:t>
            </w:r>
            <w:r>
              <w:rPr>
                <w:rFonts w:ascii="Arial" w:hAnsi="Arial" w:cs="Arial"/>
                <w:bCs/>
                <w:color w:val="000000"/>
                <w:sz w:val="20"/>
                <w:szCs w:val="20"/>
              </w:rPr>
              <w: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1B1A5C6" w14:textId="10260FA5" w:rsidR="00A65821" w:rsidRPr="003234C5" w:rsidRDefault="00427BD0" w:rsidP="00A65821">
            <w:pPr>
              <w:spacing w:after="0"/>
              <w:jc w:val="right"/>
              <w:rPr>
                <w:rFonts w:ascii="Arial" w:hAnsi="Arial" w:cs="Arial"/>
                <w:bCs/>
                <w:color w:val="000000"/>
                <w:sz w:val="20"/>
                <w:szCs w:val="20"/>
              </w:rPr>
            </w:pPr>
            <w:r>
              <w:rPr>
                <w:rFonts w:ascii="Arial" w:hAnsi="Arial" w:cs="Arial"/>
                <w:color w:val="000000"/>
                <w:sz w:val="20"/>
                <w:szCs w:val="20"/>
              </w:rPr>
              <w:t>(</w:t>
            </w:r>
            <w:r w:rsidR="00A65821">
              <w:rPr>
                <w:rFonts w:ascii="Arial" w:hAnsi="Arial" w:cs="Arial"/>
                <w:color w:val="000000"/>
                <w:sz w:val="20"/>
                <w:szCs w:val="20"/>
              </w:rPr>
              <w:t>12.818</w:t>
            </w:r>
            <w:r>
              <w:rPr>
                <w:rFonts w:ascii="Arial" w:hAnsi="Arial" w:cs="Arial"/>
                <w:color w:val="000000"/>
                <w:sz w:val="20"/>
                <w:szCs w:val="20"/>
              </w:rPr>
              <w:t>)</w:t>
            </w:r>
          </w:p>
        </w:tc>
      </w:tr>
      <w:tr w:rsidR="00A65821" w:rsidRPr="003234C5" w14:paraId="69B5D697" w14:textId="77777777" w:rsidTr="00371FB1">
        <w:trPr>
          <w:trHeight w:val="264"/>
          <w:jc w:val="center"/>
        </w:trPr>
        <w:tc>
          <w:tcPr>
            <w:tcW w:w="6380" w:type="dxa"/>
            <w:tcBorders>
              <w:top w:val="nil"/>
              <w:left w:val="single" w:sz="4" w:space="0" w:color="auto"/>
              <w:bottom w:val="single" w:sz="4" w:space="0" w:color="auto"/>
              <w:right w:val="single" w:sz="4" w:space="0" w:color="auto"/>
            </w:tcBorders>
            <w:shd w:val="clear" w:color="auto" w:fill="auto"/>
            <w:noWrap/>
            <w:vAlign w:val="bottom"/>
          </w:tcPr>
          <w:p w14:paraId="3311637A" w14:textId="670B6DA2"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Custo de Construção</w:t>
            </w:r>
          </w:p>
        </w:tc>
        <w:tc>
          <w:tcPr>
            <w:tcW w:w="1276" w:type="dxa"/>
            <w:tcBorders>
              <w:top w:val="nil"/>
              <w:left w:val="nil"/>
              <w:bottom w:val="single" w:sz="4" w:space="0" w:color="auto"/>
              <w:right w:val="single" w:sz="4" w:space="0" w:color="auto"/>
            </w:tcBorders>
            <w:vAlign w:val="center"/>
          </w:tcPr>
          <w:p w14:paraId="3D220E85" w14:textId="6BA86179" w:rsidR="00A65821" w:rsidRPr="003234C5" w:rsidRDefault="00427BD0" w:rsidP="00A65821">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w:t>
            </w:r>
            <w:r w:rsidR="00966045">
              <w:rPr>
                <w:rFonts w:ascii="Arial" w:eastAsia="Times New Roman" w:hAnsi="Arial" w:cs="Arial"/>
                <w:color w:val="000000"/>
                <w:kern w:val="0"/>
                <w:sz w:val="20"/>
                <w:szCs w:val="20"/>
                <w:lang w:eastAsia="pt-BR"/>
              </w:rPr>
              <w:t>24.045</w:t>
            </w:r>
            <w:r>
              <w:rPr>
                <w:rFonts w:ascii="Arial" w:eastAsia="Times New Roman" w:hAnsi="Arial" w:cs="Arial"/>
                <w:color w:val="000000"/>
                <w:kern w:val="0"/>
                <w:sz w:val="20"/>
                <w:szCs w:val="20"/>
                <w:lang w:eastAsia="pt-BR"/>
              </w:rPr>
              <w: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E93DDEE" w14:textId="0DF5838E" w:rsidR="00A65821" w:rsidRPr="003234C5" w:rsidRDefault="00427BD0" w:rsidP="00A65821">
            <w:pPr>
              <w:spacing w:after="0"/>
              <w:jc w:val="right"/>
              <w:rPr>
                <w:rFonts w:ascii="Arial" w:hAnsi="Arial" w:cs="Arial"/>
                <w:color w:val="000000"/>
                <w:sz w:val="20"/>
                <w:szCs w:val="20"/>
              </w:rPr>
            </w:pPr>
            <w:r>
              <w:rPr>
                <w:rFonts w:ascii="Arial" w:hAnsi="Arial" w:cs="Arial"/>
                <w:color w:val="000000"/>
                <w:sz w:val="20"/>
                <w:szCs w:val="20"/>
              </w:rPr>
              <w:t>(</w:t>
            </w:r>
            <w:r w:rsidR="00411032">
              <w:rPr>
                <w:rFonts w:ascii="Arial" w:hAnsi="Arial" w:cs="Arial"/>
                <w:color w:val="000000"/>
                <w:sz w:val="20"/>
                <w:szCs w:val="20"/>
              </w:rPr>
              <w:t>18.864</w:t>
            </w:r>
            <w:r>
              <w:rPr>
                <w:rFonts w:ascii="Arial" w:hAnsi="Arial" w:cs="Arial"/>
                <w:color w:val="000000"/>
                <w:sz w:val="20"/>
                <w:szCs w:val="20"/>
              </w:rPr>
              <w:t>)</w:t>
            </w:r>
          </w:p>
        </w:tc>
      </w:tr>
      <w:tr w:rsidR="00A65821" w:rsidRPr="003234C5" w14:paraId="18627785" w14:textId="77777777" w:rsidTr="00371FB1">
        <w:trPr>
          <w:trHeight w:val="264"/>
          <w:jc w:val="center"/>
        </w:trPr>
        <w:tc>
          <w:tcPr>
            <w:tcW w:w="6380" w:type="dxa"/>
            <w:tcBorders>
              <w:top w:val="nil"/>
              <w:left w:val="single" w:sz="4" w:space="0" w:color="auto"/>
              <w:bottom w:val="single" w:sz="4" w:space="0" w:color="auto"/>
              <w:right w:val="single" w:sz="4" w:space="0" w:color="auto"/>
            </w:tcBorders>
            <w:shd w:val="clear" w:color="auto" w:fill="auto"/>
            <w:noWrap/>
            <w:vAlign w:val="bottom"/>
            <w:hideMark/>
          </w:tcPr>
          <w:p w14:paraId="5C0B7EC1" w14:textId="77777777" w:rsidR="00A65821" w:rsidRPr="003234C5" w:rsidRDefault="00A65821" w:rsidP="00A65821">
            <w:pPr>
              <w:spacing w:after="0"/>
              <w:rPr>
                <w:rFonts w:ascii="Arial" w:hAnsi="Arial" w:cs="Arial"/>
                <w:sz w:val="20"/>
                <w:szCs w:val="20"/>
              </w:rPr>
            </w:pPr>
            <w:r w:rsidRPr="003234C5">
              <w:rPr>
                <w:rFonts w:ascii="Arial" w:hAnsi="Arial" w:cs="Arial"/>
                <w:sz w:val="20"/>
                <w:szCs w:val="20"/>
              </w:rPr>
              <w:t xml:space="preserve"> Outros</w:t>
            </w:r>
          </w:p>
        </w:tc>
        <w:tc>
          <w:tcPr>
            <w:tcW w:w="1276" w:type="dxa"/>
            <w:tcBorders>
              <w:top w:val="nil"/>
              <w:left w:val="nil"/>
              <w:bottom w:val="single" w:sz="4" w:space="0" w:color="auto"/>
              <w:right w:val="single" w:sz="4" w:space="0" w:color="auto"/>
            </w:tcBorders>
            <w:vAlign w:val="center"/>
          </w:tcPr>
          <w:p w14:paraId="400A8EA6" w14:textId="796E7B97" w:rsidR="00A65821" w:rsidRPr="003234C5" w:rsidRDefault="00427BD0" w:rsidP="00A65821">
            <w:pPr>
              <w:spacing w:after="0"/>
              <w:jc w:val="right"/>
              <w:rPr>
                <w:rFonts w:ascii="Arial" w:hAnsi="Arial" w:cs="Arial"/>
                <w:bCs/>
                <w:color w:val="000000"/>
                <w:sz w:val="20"/>
                <w:szCs w:val="20"/>
              </w:rPr>
            </w:pPr>
            <w:r>
              <w:rPr>
                <w:rFonts w:ascii="Arial" w:hAnsi="Arial" w:cs="Arial"/>
                <w:bCs/>
                <w:color w:val="000000"/>
                <w:sz w:val="20"/>
                <w:szCs w:val="20"/>
              </w:rPr>
              <w:t>(</w:t>
            </w:r>
            <w:r w:rsidR="00966045">
              <w:rPr>
                <w:rFonts w:ascii="Arial" w:hAnsi="Arial" w:cs="Arial"/>
                <w:bCs/>
                <w:color w:val="000000"/>
                <w:sz w:val="20"/>
                <w:szCs w:val="20"/>
              </w:rPr>
              <w:t>80</w:t>
            </w:r>
            <w:r w:rsidR="00A70040">
              <w:rPr>
                <w:rFonts w:ascii="Arial" w:hAnsi="Arial" w:cs="Arial"/>
                <w:bCs/>
                <w:color w:val="000000"/>
                <w:sz w:val="20"/>
                <w:szCs w:val="20"/>
              </w:rPr>
              <w:t>6</w:t>
            </w:r>
            <w:r>
              <w:rPr>
                <w:rFonts w:ascii="Arial" w:hAnsi="Arial" w:cs="Arial"/>
                <w:bCs/>
                <w:color w:val="000000"/>
                <w:sz w:val="20"/>
                <w:szCs w:val="20"/>
              </w:rPr>
              <w: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00F5CA7" w14:textId="35FEE074" w:rsidR="00A65821" w:rsidRPr="003234C5" w:rsidRDefault="00427BD0" w:rsidP="00A65821">
            <w:pPr>
              <w:spacing w:after="0"/>
              <w:jc w:val="right"/>
              <w:rPr>
                <w:rFonts w:ascii="Arial" w:hAnsi="Arial" w:cs="Arial"/>
                <w:bCs/>
                <w:color w:val="000000"/>
                <w:sz w:val="20"/>
                <w:szCs w:val="20"/>
              </w:rPr>
            </w:pPr>
            <w:r>
              <w:rPr>
                <w:rFonts w:ascii="Arial" w:hAnsi="Arial" w:cs="Arial"/>
                <w:color w:val="000000"/>
                <w:sz w:val="20"/>
                <w:szCs w:val="20"/>
              </w:rPr>
              <w:t>(</w:t>
            </w:r>
            <w:r w:rsidR="00411032">
              <w:rPr>
                <w:rFonts w:ascii="Arial" w:hAnsi="Arial" w:cs="Arial"/>
                <w:color w:val="000000"/>
                <w:sz w:val="20"/>
                <w:szCs w:val="20"/>
              </w:rPr>
              <w:t>694</w:t>
            </w:r>
            <w:r>
              <w:rPr>
                <w:rFonts w:ascii="Arial" w:hAnsi="Arial" w:cs="Arial"/>
                <w:color w:val="000000"/>
                <w:sz w:val="20"/>
                <w:szCs w:val="20"/>
              </w:rPr>
              <w:t>)</w:t>
            </w:r>
          </w:p>
        </w:tc>
      </w:tr>
      <w:tr w:rsidR="00B179BA" w:rsidRPr="003234C5" w14:paraId="768C48E9" w14:textId="77777777" w:rsidTr="00371FB1">
        <w:trPr>
          <w:trHeight w:val="265"/>
          <w:jc w:val="center"/>
        </w:trPr>
        <w:tc>
          <w:tcPr>
            <w:tcW w:w="638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48FDEBE" w14:textId="77777777" w:rsidR="00B179BA" w:rsidRPr="003234C5" w:rsidRDefault="00B179BA" w:rsidP="00B179BA">
            <w:pPr>
              <w:spacing w:after="0"/>
              <w:rPr>
                <w:rFonts w:ascii="Arial" w:hAnsi="Arial" w:cs="Arial"/>
                <w:b/>
                <w:bCs/>
                <w:color w:val="000000"/>
                <w:sz w:val="20"/>
                <w:szCs w:val="20"/>
              </w:rPr>
            </w:pPr>
            <w:r w:rsidRPr="003234C5">
              <w:rPr>
                <w:rFonts w:ascii="Arial" w:hAnsi="Arial" w:cs="Arial"/>
                <w:b/>
                <w:bCs/>
                <w:color w:val="000000"/>
                <w:sz w:val="20"/>
                <w:szCs w:val="20"/>
              </w:rPr>
              <w:t>TOTAL</w:t>
            </w:r>
          </w:p>
        </w:tc>
        <w:tc>
          <w:tcPr>
            <w:tcW w:w="1276" w:type="dxa"/>
            <w:tcBorders>
              <w:top w:val="single" w:sz="4" w:space="0" w:color="auto"/>
              <w:left w:val="nil"/>
              <w:bottom w:val="single" w:sz="4" w:space="0" w:color="auto"/>
              <w:right w:val="single" w:sz="4" w:space="0" w:color="auto"/>
            </w:tcBorders>
            <w:shd w:val="clear" w:color="000000" w:fill="D8D8D8"/>
            <w:vAlign w:val="center"/>
          </w:tcPr>
          <w:p w14:paraId="6E60E60E" w14:textId="5B152910" w:rsidR="00B179BA" w:rsidRPr="003234C5" w:rsidRDefault="004042C7" w:rsidP="00B179BA">
            <w:pPr>
              <w:suppressAutoHyphens w:val="0"/>
              <w:spacing w:after="0" w:line="240" w:lineRule="auto"/>
              <w:jc w:val="right"/>
              <w:rPr>
                <w:rFonts w:ascii="Arial" w:eastAsia="Times New Roman" w:hAnsi="Arial" w:cs="Arial"/>
                <w:b/>
                <w:color w:val="000000"/>
                <w:kern w:val="0"/>
                <w:sz w:val="20"/>
                <w:szCs w:val="20"/>
                <w:lang w:eastAsia="pt-BR"/>
              </w:rPr>
            </w:pPr>
            <w:r>
              <w:rPr>
                <w:rFonts w:ascii="Arial" w:eastAsia="Times New Roman" w:hAnsi="Arial" w:cs="Arial"/>
                <w:b/>
                <w:color w:val="000000"/>
                <w:kern w:val="0"/>
                <w:sz w:val="20"/>
                <w:szCs w:val="20"/>
                <w:lang w:eastAsia="pt-BR"/>
              </w:rPr>
              <w:t>(</w:t>
            </w:r>
            <w:r w:rsidR="00966045">
              <w:rPr>
                <w:rFonts w:ascii="Arial" w:eastAsia="Times New Roman" w:hAnsi="Arial" w:cs="Arial"/>
                <w:b/>
                <w:color w:val="000000"/>
                <w:kern w:val="0"/>
                <w:sz w:val="20"/>
                <w:szCs w:val="20"/>
                <w:lang w:eastAsia="pt-BR"/>
              </w:rPr>
              <w:t>451.89</w:t>
            </w:r>
            <w:r w:rsidR="00A70040">
              <w:rPr>
                <w:rFonts w:ascii="Arial" w:eastAsia="Times New Roman" w:hAnsi="Arial" w:cs="Arial"/>
                <w:b/>
                <w:color w:val="000000"/>
                <w:kern w:val="0"/>
                <w:sz w:val="20"/>
                <w:szCs w:val="20"/>
                <w:lang w:eastAsia="pt-BR"/>
              </w:rPr>
              <w:t>0</w:t>
            </w:r>
            <w:r>
              <w:rPr>
                <w:rFonts w:ascii="Arial" w:eastAsia="Times New Roman" w:hAnsi="Arial" w:cs="Arial"/>
                <w:b/>
                <w:color w:val="000000"/>
                <w:kern w:val="0"/>
                <w:sz w:val="20"/>
                <w:szCs w:val="20"/>
                <w:lang w:eastAsia="pt-BR"/>
              </w:rPr>
              <w:t>)</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center"/>
          </w:tcPr>
          <w:p w14:paraId="1666886C" w14:textId="71417A6B" w:rsidR="00B179BA" w:rsidRPr="003234C5" w:rsidRDefault="004042C7" w:rsidP="00B179BA">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w:t>
            </w:r>
            <w:r w:rsidR="00D92111">
              <w:rPr>
                <w:rFonts w:ascii="Arial" w:eastAsia="Times New Roman" w:hAnsi="Arial" w:cs="Arial"/>
                <w:b/>
                <w:bCs/>
                <w:color w:val="000000"/>
                <w:kern w:val="0"/>
                <w:sz w:val="20"/>
                <w:szCs w:val="20"/>
                <w:lang w:eastAsia="pt-BR"/>
              </w:rPr>
              <w:t>307.626</w:t>
            </w:r>
            <w:r>
              <w:rPr>
                <w:rFonts w:ascii="Arial" w:eastAsia="Times New Roman" w:hAnsi="Arial" w:cs="Arial"/>
                <w:b/>
                <w:bCs/>
                <w:color w:val="000000"/>
                <w:kern w:val="0"/>
                <w:sz w:val="20"/>
                <w:szCs w:val="20"/>
                <w:lang w:eastAsia="pt-BR"/>
              </w:rPr>
              <w:t>)</w:t>
            </w:r>
          </w:p>
        </w:tc>
      </w:tr>
    </w:tbl>
    <w:p w14:paraId="5C95721E" w14:textId="77777777" w:rsidR="00ED36AD" w:rsidRPr="00ED36AD" w:rsidRDefault="00ED36AD" w:rsidP="00ED36AD">
      <w:pPr>
        <w:jc w:val="both"/>
        <w:rPr>
          <w:rFonts w:ascii="Arial" w:hAnsi="Arial" w:cs="Arial"/>
          <w:b/>
          <w:sz w:val="24"/>
          <w:szCs w:val="24"/>
        </w:rPr>
      </w:pPr>
    </w:p>
    <w:p w14:paraId="7253A68B" w14:textId="21060B18" w:rsidR="00200682" w:rsidRPr="003234C5" w:rsidRDefault="00200682" w:rsidP="00200682">
      <w:pPr>
        <w:jc w:val="both"/>
        <w:rPr>
          <w:rFonts w:ascii="Arial" w:hAnsi="Arial" w:cs="Arial"/>
          <w:b/>
        </w:rPr>
      </w:pPr>
      <w:r w:rsidRPr="003234C5">
        <w:rPr>
          <w:rFonts w:ascii="Arial" w:hAnsi="Arial" w:cs="Arial"/>
          <w:b/>
        </w:rPr>
        <w:t xml:space="preserve">NOTA </w:t>
      </w:r>
      <w:r w:rsidR="005953BA">
        <w:rPr>
          <w:rFonts w:ascii="Arial" w:hAnsi="Arial" w:cs="Arial"/>
          <w:b/>
        </w:rPr>
        <w:t>30</w:t>
      </w:r>
      <w:r w:rsidRPr="003234C5">
        <w:rPr>
          <w:rFonts w:ascii="Arial" w:hAnsi="Arial" w:cs="Arial"/>
          <w:b/>
        </w:rPr>
        <w:t xml:space="preserve">. DESPESAS POR NATUREZA </w:t>
      </w:r>
    </w:p>
    <w:p w14:paraId="0E291C1C" w14:textId="4C7169C8" w:rsidR="00200682" w:rsidRPr="003234C5" w:rsidRDefault="00200682" w:rsidP="00200682">
      <w:pPr>
        <w:jc w:val="both"/>
        <w:rPr>
          <w:rFonts w:ascii="Arial" w:hAnsi="Arial" w:cs="Arial"/>
        </w:rPr>
      </w:pPr>
      <w:r w:rsidRPr="003234C5">
        <w:rPr>
          <w:rFonts w:ascii="Arial" w:hAnsi="Arial" w:cs="Arial"/>
        </w:rPr>
        <w:t>As despesas por natureza de gastos estão demonstradas na tabela abaixo:</w:t>
      </w:r>
    </w:p>
    <w:tbl>
      <w:tblPr>
        <w:tblW w:w="8931" w:type="dxa"/>
        <w:jc w:val="center"/>
        <w:tblLayout w:type="fixed"/>
        <w:tblCellMar>
          <w:left w:w="70" w:type="dxa"/>
          <w:right w:w="70" w:type="dxa"/>
        </w:tblCellMar>
        <w:tblLook w:val="04A0" w:firstRow="1" w:lastRow="0" w:firstColumn="1" w:lastColumn="0" w:noHBand="0" w:noVBand="1"/>
      </w:tblPr>
      <w:tblGrid>
        <w:gridCol w:w="5529"/>
        <w:gridCol w:w="1701"/>
        <w:gridCol w:w="1701"/>
      </w:tblGrid>
      <w:tr w:rsidR="00492DEB" w:rsidRPr="003234C5" w14:paraId="70C1EF90" w14:textId="77777777" w:rsidTr="008B68E8">
        <w:trPr>
          <w:trHeight w:val="240"/>
          <w:jc w:val="center"/>
        </w:trPr>
        <w:tc>
          <w:tcPr>
            <w:tcW w:w="5529"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A280A27" w14:textId="7D70E2FE" w:rsidR="00492DEB" w:rsidRPr="003234C5" w:rsidRDefault="00492DEB" w:rsidP="00492DEB">
            <w:pPr>
              <w:spacing w:after="0"/>
              <w:rPr>
                <w:rFonts w:ascii="Arial" w:hAnsi="Arial" w:cs="Arial"/>
                <w:b/>
                <w:bCs/>
                <w:color w:val="000000"/>
                <w:sz w:val="20"/>
                <w:szCs w:val="20"/>
              </w:rPr>
            </w:pPr>
            <w:r w:rsidRPr="003234C5">
              <w:rPr>
                <w:rFonts w:ascii="Arial" w:hAnsi="Arial" w:cs="Arial"/>
                <w:b/>
                <w:bCs/>
                <w:color w:val="000000"/>
                <w:sz w:val="20"/>
                <w:szCs w:val="20"/>
              </w:rPr>
              <w:t>DESPESAS POR NATUREZA</w:t>
            </w:r>
          </w:p>
        </w:tc>
        <w:tc>
          <w:tcPr>
            <w:tcW w:w="1701" w:type="dxa"/>
            <w:tcBorders>
              <w:top w:val="single" w:sz="4" w:space="0" w:color="auto"/>
              <w:left w:val="nil"/>
              <w:bottom w:val="single" w:sz="4" w:space="0" w:color="auto"/>
              <w:right w:val="single" w:sz="4" w:space="0" w:color="auto"/>
            </w:tcBorders>
            <w:shd w:val="clear" w:color="000000" w:fill="D8D8D8"/>
            <w:vAlign w:val="bottom"/>
          </w:tcPr>
          <w:p w14:paraId="4D1A6BE9" w14:textId="6D8ABAA5" w:rsidR="00492DEB" w:rsidRPr="003234C5" w:rsidRDefault="00C6257E" w:rsidP="00492DEB">
            <w:pPr>
              <w:spacing w:after="0"/>
              <w:jc w:val="center"/>
              <w:rPr>
                <w:rFonts w:ascii="Arial" w:hAnsi="Arial" w:cs="Arial"/>
                <w:b/>
                <w:bCs/>
                <w:color w:val="000000"/>
                <w:sz w:val="20"/>
                <w:szCs w:val="20"/>
              </w:rPr>
            </w:pPr>
            <w:r>
              <w:rPr>
                <w:rFonts w:ascii="Arial" w:hAnsi="Arial" w:cs="Arial"/>
                <w:b/>
                <w:bCs/>
                <w:color w:val="000000"/>
                <w:sz w:val="20"/>
                <w:szCs w:val="20"/>
              </w:rPr>
              <w:t>2019</w:t>
            </w:r>
          </w:p>
        </w:tc>
        <w:tc>
          <w:tcPr>
            <w:tcW w:w="1701" w:type="dxa"/>
            <w:tcBorders>
              <w:top w:val="single" w:sz="4" w:space="0" w:color="auto"/>
              <w:left w:val="nil"/>
              <w:bottom w:val="single" w:sz="4" w:space="0" w:color="auto"/>
              <w:right w:val="single" w:sz="4" w:space="0" w:color="auto"/>
            </w:tcBorders>
            <w:shd w:val="clear" w:color="000000" w:fill="D8D8D8"/>
            <w:noWrap/>
            <w:vAlign w:val="bottom"/>
            <w:hideMark/>
          </w:tcPr>
          <w:p w14:paraId="09AA9926" w14:textId="06C7590C" w:rsidR="00492DEB" w:rsidRPr="003234C5" w:rsidRDefault="00C6257E" w:rsidP="00492DEB">
            <w:pPr>
              <w:spacing w:after="0"/>
              <w:jc w:val="center"/>
              <w:rPr>
                <w:rFonts w:ascii="Arial" w:hAnsi="Arial" w:cs="Arial"/>
                <w:b/>
                <w:bCs/>
                <w:color w:val="000000"/>
                <w:sz w:val="20"/>
                <w:szCs w:val="20"/>
              </w:rPr>
            </w:pPr>
            <w:r>
              <w:rPr>
                <w:rFonts w:ascii="Arial" w:hAnsi="Arial" w:cs="Arial"/>
                <w:b/>
                <w:bCs/>
                <w:color w:val="000000"/>
                <w:sz w:val="20"/>
                <w:szCs w:val="20"/>
              </w:rPr>
              <w:t>2018</w:t>
            </w:r>
          </w:p>
        </w:tc>
      </w:tr>
      <w:tr w:rsidR="00D92111" w:rsidRPr="003234C5" w14:paraId="21D2B79B" w14:textId="77777777" w:rsidTr="008B68E8">
        <w:trPr>
          <w:trHeight w:val="240"/>
          <w:jc w:val="center"/>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5B106052" w14:textId="69DB9C75" w:rsidR="00D92111" w:rsidRPr="003234C5" w:rsidRDefault="00D92111" w:rsidP="00D92111">
            <w:pPr>
              <w:spacing w:after="0"/>
              <w:rPr>
                <w:rFonts w:ascii="Arial" w:hAnsi="Arial" w:cs="Arial"/>
                <w:sz w:val="20"/>
                <w:szCs w:val="20"/>
              </w:rPr>
            </w:pPr>
            <w:bookmarkStart w:id="43" w:name="_Hlk506333354"/>
            <w:r w:rsidRPr="003234C5">
              <w:rPr>
                <w:rFonts w:ascii="Arial" w:hAnsi="Arial" w:cs="Arial"/>
                <w:sz w:val="20"/>
                <w:szCs w:val="20"/>
              </w:rPr>
              <w:t xml:space="preserve"> Despesa de Pessoal</w:t>
            </w:r>
          </w:p>
        </w:tc>
        <w:tc>
          <w:tcPr>
            <w:tcW w:w="1701" w:type="dxa"/>
            <w:tcBorders>
              <w:top w:val="single" w:sz="4" w:space="0" w:color="auto"/>
              <w:left w:val="nil"/>
              <w:bottom w:val="single" w:sz="4" w:space="0" w:color="auto"/>
              <w:right w:val="single" w:sz="4" w:space="0" w:color="auto"/>
            </w:tcBorders>
            <w:vAlign w:val="center"/>
          </w:tcPr>
          <w:p w14:paraId="1E4C111E" w14:textId="2131D268" w:rsidR="00D92111" w:rsidRPr="003234C5" w:rsidRDefault="00427BD0" w:rsidP="00D92111">
            <w:pPr>
              <w:spacing w:after="0"/>
              <w:jc w:val="right"/>
              <w:rPr>
                <w:rFonts w:ascii="Arial" w:hAnsi="Arial" w:cs="Arial"/>
                <w:sz w:val="20"/>
                <w:szCs w:val="20"/>
              </w:rPr>
            </w:pPr>
            <w:r>
              <w:rPr>
                <w:rFonts w:ascii="Arial" w:hAnsi="Arial" w:cs="Arial"/>
                <w:sz w:val="20"/>
                <w:szCs w:val="20"/>
              </w:rPr>
              <w:t>(</w:t>
            </w:r>
            <w:r w:rsidR="00B35883">
              <w:rPr>
                <w:rFonts w:ascii="Arial" w:hAnsi="Arial" w:cs="Arial"/>
                <w:sz w:val="20"/>
                <w:szCs w:val="20"/>
              </w:rPr>
              <w:t>12.155</w:t>
            </w:r>
            <w:r>
              <w:rPr>
                <w:rFonts w:ascii="Arial" w:hAnsi="Arial" w:cs="Arial"/>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14:paraId="673971E1" w14:textId="4E990887" w:rsidR="00D92111" w:rsidRPr="003234C5" w:rsidRDefault="00427BD0" w:rsidP="00D92111">
            <w:pPr>
              <w:spacing w:after="0"/>
              <w:jc w:val="right"/>
              <w:rPr>
                <w:rFonts w:ascii="Arial" w:hAnsi="Arial" w:cs="Arial"/>
                <w:sz w:val="20"/>
                <w:szCs w:val="20"/>
              </w:rPr>
            </w:pPr>
            <w:r>
              <w:rPr>
                <w:rFonts w:ascii="Arial" w:hAnsi="Arial" w:cs="Arial"/>
                <w:color w:val="000000"/>
                <w:sz w:val="20"/>
                <w:szCs w:val="20"/>
              </w:rPr>
              <w:t>(</w:t>
            </w:r>
            <w:r w:rsidR="00D92111">
              <w:rPr>
                <w:rFonts w:ascii="Arial" w:hAnsi="Arial" w:cs="Arial"/>
                <w:color w:val="000000"/>
                <w:sz w:val="20"/>
                <w:szCs w:val="20"/>
              </w:rPr>
              <w:t>9.920</w:t>
            </w:r>
            <w:r>
              <w:rPr>
                <w:rFonts w:ascii="Arial" w:hAnsi="Arial" w:cs="Arial"/>
                <w:color w:val="000000"/>
                <w:sz w:val="20"/>
                <w:szCs w:val="20"/>
              </w:rPr>
              <w:t>)</w:t>
            </w:r>
          </w:p>
        </w:tc>
      </w:tr>
      <w:tr w:rsidR="00D92111" w:rsidRPr="003234C5" w14:paraId="1D6E4EEC" w14:textId="77777777" w:rsidTr="008B68E8">
        <w:trPr>
          <w:trHeight w:val="240"/>
          <w:jc w:val="center"/>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2BDA7A3F" w14:textId="02BC2366" w:rsidR="00D92111" w:rsidRPr="003234C5" w:rsidRDefault="00D92111" w:rsidP="00D92111">
            <w:pPr>
              <w:spacing w:after="0"/>
              <w:rPr>
                <w:rFonts w:ascii="Arial" w:hAnsi="Arial" w:cs="Arial"/>
                <w:sz w:val="20"/>
                <w:szCs w:val="20"/>
              </w:rPr>
            </w:pPr>
            <w:r w:rsidRPr="003234C5">
              <w:rPr>
                <w:rFonts w:ascii="Arial" w:hAnsi="Arial" w:cs="Arial"/>
                <w:sz w:val="20"/>
                <w:szCs w:val="20"/>
              </w:rPr>
              <w:t xml:space="preserve"> Despesas dos Serviços prestados </w:t>
            </w:r>
          </w:p>
        </w:tc>
        <w:tc>
          <w:tcPr>
            <w:tcW w:w="1701" w:type="dxa"/>
            <w:tcBorders>
              <w:top w:val="nil"/>
              <w:left w:val="nil"/>
              <w:bottom w:val="single" w:sz="4" w:space="0" w:color="auto"/>
              <w:right w:val="single" w:sz="4" w:space="0" w:color="auto"/>
            </w:tcBorders>
            <w:vAlign w:val="center"/>
          </w:tcPr>
          <w:p w14:paraId="77907A8E" w14:textId="2D247F1B" w:rsidR="00D92111" w:rsidRPr="003234C5" w:rsidRDefault="00427BD0" w:rsidP="00D92111">
            <w:pPr>
              <w:spacing w:after="0"/>
              <w:jc w:val="right"/>
              <w:rPr>
                <w:rFonts w:ascii="Arial" w:hAnsi="Arial" w:cs="Arial"/>
                <w:sz w:val="20"/>
                <w:szCs w:val="20"/>
              </w:rPr>
            </w:pPr>
            <w:r>
              <w:rPr>
                <w:rFonts w:ascii="Arial" w:hAnsi="Arial" w:cs="Arial"/>
                <w:sz w:val="20"/>
                <w:szCs w:val="20"/>
              </w:rPr>
              <w:t>(</w:t>
            </w:r>
            <w:r w:rsidR="00B35883">
              <w:rPr>
                <w:rFonts w:ascii="Arial" w:hAnsi="Arial" w:cs="Arial"/>
                <w:sz w:val="20"/>
                <w:szCs w:val="20"/>
              </w:rPr>
              <w:t>5.563</w:t>
            </w:r>
            <w:r>
              <w:rPr>
                <w:rFonts w:ascii="Arial" w:hAnsi="Arial" w:cs="Arial"/>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14:paraId="7CBA9836" w14:textId="3BA7A22D" w:rsidR="00D92111" w:rsidRPr="003234C5" w:rsidRDefault="00427BD0" w:rsidP="00D92111">
            <w:pPr>
              <w:spacing w:after="0"/>
              <w:jc w:val="right"/>
              <w:rPr>
                <w:rFonts w:ascii="Arial" w:hAnsi="Arial" w:cs="Arial"/>
                <w:sz w:val="20"/>
                <w:szCs w:val="20"/>
              </w:rPr>
            </w:pPr>
            <w:r>
              <w:rPr>
                <w:rFonts w:ascii="Arial" w:hAnsi="Arial" w:cs="Arial"/>
                <w:color w:val="000000"/>
                <w:sz w:val="20"/>
                <w:szCs w:val="20"/>
              </w:rPr>
              <w:t>(</w:t>
            </w:r>
            <w:r w:rsidR="00D92111">
              <w:rPr>
                <w:rFonts w:ascii="Arial" w:hAnsi="Arial" w:cs="Arial"/>
                <w:color w:val="000000"/>
                <w:sz w:val="20"/>
                <w:szCs w:val="20"/>
              </w:rPr>
              <w:t>4.314</w:t>
            </w:r>
            <w:r>
              <w:rPr>
                <w:rFonts w:ascii="Arial" w:hAnsi="Arial" w:cs="Arial"/>
                <w:color w:val="000000"/>
                <w:sz w:val="20"/>
                <w:szCs w:val="20"/>
              </w:rPr>
              <w:t>)</w:t>
            </w:r>
          </w:p>
        </w:tc>
      </w:tr>
      <w:tr w:rsidR="00D92111" w:rsidRPr="003234C5" w14:paraId="50832EEB" w14:textId="77777777" w:rsidTr="008B68E8">
        <w:trPr>
          <w:trHeight w:val="240"/>
          <w:jc w:val="center"/>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2BD67E97" w14:textId="5BFDE9D8" w:rsidR="00D92111" w:rsidRPr="003234C5" w:rsidRDefault="00D92111" w:rsidP="00D92111">
            <w:pPr>
              <w:spacing w:after="0"/>
              <w:rPr>
                <w:rFonts w:ascii="Arial" w:hAnsi="Arial" w:cs="Arial"/>
                <w:sz w:val="20"/>
                <w:szCs w:val="20"/>
              </w:rPr>
            </w:pPr>
            <w:r w:rsidRPr="003234C5">
              <w:rPr>
                <w:rFonts w:ascii="Arial" w:hAnsi="Arial" w:cs="Arial"/>
                <w:sz w:val="20"/>
                <w:szCs w:val="20"/>
              </w:rPr>
              <w:t xml:space="preserve"> Despesas de Aquisição de Materiais </w:t>
            </w:r>
          </w:p>
        </w:tc>
        <w:tc>
          <w:tcPr>
            <w:tcW w:w="1701" w:type="dxa"/>
            <w:tcBorders>
              <w:top w:val="nil"/>
              <w:left w:val="nil"/>
              <w:bottom w:val="single" w:sz="4" w:space="0" w:color="auto"/>
              <w:right w:val="single" w:sz="4" w:space="0" w:color="auto"/>
            </w:tcBorders>
            <w:vAlign w:val="center"/>
          </w:tcPr>
          <w:p w14:paraId="5EC32BF0" w14:textId="16DCB80A" w:rsidR="00D92111" w:rsidRPr="003234C5" w:rsidRDefault="00427BD0" w:rsidP="00D92111">
            <w:pPr>
              <w:spacing w:after="0"/>
              <w:jc w:val="right"/>
              <w:rPr>
                <w:rFonts w:ascii="Arial" w:hAnsi="Arial" w:cs="Arial"/>
                <w:sz w:val="20"/>
                <w:szCs w:val="20"/>
              </w:rPr>
            </w:pPr>
            <w:r>
              <w:rPr>
                <w:rFonts w:ascii="Arial" w:hAnsi="Arial" w:cs="Arial"/>
                <w:sz w:val="20"/>
                <w:szCs w:val="20"/>
              </w:rPr>
              <w:t>(</w:t>
            </w:r>
            <w:r w:rsidR="00B35883">
              <w:rPr>
                <w:rFonts w:ascii="Arial" w:hAnsi="Arial" w:cs="Arial"/>
                <w:sz w:val="20"/>
                <w:szCs w:val="20"/>
              </w:rPr>
              <w:t>98</w:t>
            </w:r>
            <w:r>
              <w:rPr>
                <w:rFonts w:ascii="Arial" w:hAnsi="Arial" w:cs="Arial"/>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14:paraId="0079822A" w14:textId="36AC009B" w:rsidR="00D92111" w:rsidRPr="003234C5" w:rsidRDefault="00427BD0" w:rsidP="00D92111">
            <w:pPr>
              <w:spacing w:after="0"/>
              <w:jc w:val="right"/>
              <w:rPr>
                <w:rFonts w:ascii="Arial" w:hAnsi="Arial" w:cs="Arial"/>
                <w:sz w:val="20"/>
                <w:szCs w:val="20"/>
              </w:rPr>
            </w:pPr>
            <w:r>
              <w:rPr>
                <w:rFonts w:ascii="Arial" w:hAnsi="Arial" w:cs="Arial"/>
                <w:color w:val="000000"/>
                <w:sz w:val="20"/>
                <w:szCs w:val="20"/>
              </w:rPr>
              <w:t>(</w:t>
            </w:r>
            <w:r w:rsidR="00D92111">
              <w:rPr>
                <w:rFonts w:ascii="Arial" w:hAnsi="Arial" w:cs="Arial"/>
                <w:color w:val="000000"/>
                <w:sz w:val="20"/>
                <w:szCs w:val="20"/>
              </w:rPr>
              <w:t>93</w:t>
            </w:r>
            <w:r>
              <w:rPr>
                <w:rFonts w:ascii="Arial" w:hAnsi="Arial" w:cs="Arial"/>
                <w:color w:val="000000"/>
                <w:sz w:val="20"/>
                <w:szCs w:val="20"/>
              </w:rPr>
              <w:t>)</w:t>
            </w:r>
          </w:p>
        </w:tc>
      </w:tr>
      <w:tr w:rsidR="00D92111" w:rsidRPr="003234C5" w14:paraId="40905844" w14:textId="77777777" w:rsidTr="008B68E8">
        <w:trPr>
          <w:trHeight w:val="240"/>
          <w:jc w:val="center"/>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53ABC6E9" w14:textId="411E4230" w:rsidR="00D92111" w:rsidRPr="003234C5" w:rsidRDefault="00D92111" w:rsidP="00D92111">
            <w:pPr>
              <w:spacing w:after="0"/>
              <w:rPr>
                <w:rFonts w:ascii="Arial" w:hAnsi="Arial" w:cs="Arial"/>
                <w:sz w:val="20"/>
                <w:szCs w:val="20"/>
              </w:rPr>
            </w:pPr>
            <w:r w:rsidRPr="003234C5">
              <w:rPr>
                <w:rFonts w:ascii="Arial" w:hAnsi="Arial" w:cs="Arial"/>
                <w:sz w:val="20"/>
                <w:szCs w:val="20"/>
              </w:rPr>
              <w:t xml:space="preserve"> Despesas de Amortização Administrativa</w:t>
            </w:r>
          </w:p>
        </w:tc>
        <w:tc>
          <w:tcPr>
            <w:tcW w:w="1701" w:type="dxa"/>
            <w:tcBorders>
              <w:top w:val="nil"/>
              <w:left w:val="nil"/>
              <w:bottom w:val="single" w:sz="4" w:space="0" w:color="auto"/>
              <w:right w:val="single" w:sz="4" w:space="0" w:color="auto"/>
            </w:tcBorders>
            <w:vAlign w:val="center"/>
          </w:tcPr>
          <w:p w14:paraId="7FFAC044" w14:textId="3C1DA9C1" w:rsidR="00D92111" w:rsidRPr="003234C5" w:rsidRDefault="00427BD0" w:rsidP="00D92111">
            <w:pPr>
              <w:spacing w:after="0"/>
              <w:jc w:val="right"/>
              <w:rPr>
                <w:rFonts w:ascii="Arial" w:hAnsi="Arial" w:cs="Arial"/>
                <w:sz w:val="20"/>
                <w:szCs w:val="20"/>
              </w:rPr>
            </w:pPr>
            <w:r>
              <w:rPr>
                <w:rFonts w:ascii="Arial" w:hAnsi="Arial" w:cs="Arial"/>
                <w:sz w:val="20"/>
                <w:szCs w:val="20"/>
              </w:rPr>
              <w:t>(</w:t>
            </w:r>
            <w:r w:rsidR="00B35883">
              <w:rPr>
                <w:rFonts w:ascii="Arial" w:hAnsi="Arial" w:cs="Arial"/>
                <w:sz w:val="20"/>
                <w:szCs w:val="20"/>
              </w:rPr>
              <w:t>3.397</w:t>
            </w:r>
            <w:r>
              <w:rPr>
                <w:rFonts w:ascii="Arial" w:hAnsi="Arial" w:cs="Arial"/>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14:paraId="51AEF8EC" w14:textId="4D3DEC3E" w:rsidR="00D92111" w:rsidRPr="003234C5" w:rsidRDefault="00427BD0" w:rsidP="00D92111">
            <w:pPr>
              <w:spacing w:after="0"/>
              <w:jc w:val="right"/>
              <w:rPr>
                <w:rFonts w:ascii="Arial" w:hAnsi="Arial" w:cs="Arial"/>
                <w:sz w:val="20"/>
                <w:szCs w:val="20"/>
              </w:rPr>
            </w:pPr>
            <w:r>
              <w:rPr>
                <w:rFonts w:ascii="Arial" w:hAnsi="Arial" w:cs="Arial"/>
                <w:color w:val="000000"/>
                <w:sz w:val="20"/>
                <w:szCs w:val="20"/>
              </w:rPr>
              <w:t>(</w:t>
            </w:r>
            <w:r w:rsidR="00D92111">
              <w:rPr>
                <w:rFonts w:ascii="Arial" w:hAnsi="Arial" w:cs="Arial"/>
                <w:color w:val="000000"/>
                <w:sz w:val="20"/>
                <w:szCs w:val="20"/>
              </w:rPr>
              <w:t>1.720</w:t>
            </w:r>
            <w:r>
              <w:rPr>
                <w:rFonts w:ascii="Arial" w:hAnsi="Arial" w:cs="Arial"/>
                <w:color w:val="000000"/>
                <w:sz w:val="20"/>
                <w:szCs w:val="20"/>
              </w:rPr>
              <w:t>)</w:t>
            </w:r>
          </w:p>
        </w:tc>
      </w:tr>
      <w:tr w:rsidR="00D92111" w:rsidRPr="003234C5" w14:paraId="6AEDE162" w14:textId="77777777" w:rsidTr="008B68E8">
        <w:trPr>
          <w:trHeight w:val="240"/>
          <w:jc w:val="center"/>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7C96FD12" w14:textId="43484B7D" w:rsidR="00D92111" w:rsidRPr="003234C5" w:rsidRDefault="00D92111" w:rsidP="00D92111">
            <w:pPr>
              <w:spacing w:after="0"/>
              <w:rPr>
                <w:rFonts w:ascii="Arial" w:hAnsi="Arial" w:cs="Arial"/>
                <w:sz w:val="20"/>
                <w:szCs w:val="20"/>
              </w:rPr>
            </w:pPr>
            <w:r w:rsidRPr="003234C5">
              <w:rPr>
                <w:rFonts w:ascii="Arial" w:hAnsi="Arial" w:cs="Arial"/>
                <w:sz w:val="20"/>
                <w:szCs w:val="20"/>
              </w:rPr>
              <w:t xml:space="preserve"> Despesas Gerais e Administrativas </w:t>
            </w:r>
          </w:p>
        </w:tc>
        <w:tc>
          <w:tcPr>
            <w:tcW w:w="1701" w:type="dxa"/>
            <w:tcBorders>
              <w:top w:val="nil"/>
              <w:left w:val="nil"/>
              <w:bottom w:val="single" w:sz="4" w:space="0" w:color="auto"/>
              <w:right w:val="single" w:sz="4" w:space="0" w:color="auto"/>
            </w:tcBorders>
            <w:vAlign w:val="center"/>
          </w:tcPr>
          <w:p w14:paraId="4777899C" w14:textId="5D851A7B" w:rsidR="00D92111" w:rsidRPr="003234C5" w:rsidRDefault="00427BD0" w:rsidP="00D92111">
            <w:pPr>
              <w:spacing w:after="0"/>
              <w:jc w:val="right"/>
              <w:rPr>
                <w:rFonts w:ascii="Arial" w:hAnsi="Arial" w:cs="Arial"/>
                <w:sz w:val="20"/>
                <w:szCs w:val="20"/>
              </w:rPr>
            </w:pPr>
            <w:r>
              <w:rPr>
                <w:rFonts w:ascii="Arial" w:hAnsi="Arial" w:cs="Arial"/>
                <w:sz w:val="20"/>
                <w:szCs w:val="20"/>
              </w:rPr>
              <w:t>(</w:t>
            </w:r>
            <w:r w:rsidR="00B35883">
              <w:rPr>
                <w:rFonts w:ascii="Arial" w:hAnsi="Arial" w:cs="Arial"/>
                <w:sz w:val="20"/>
                <w:szCs w:val="20"/>
              </w:rPr>
              <w:t>3.981</w:t>
            </w:r>
            <w:r>
              <w:rPr>
                <w:rFonts w:ascii="Arial" w:hAnsi="Arial" w:cs="Arial"/>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14:paraId="4FE6F911" w14:textId="65601564" w:rsidR="00D92111" w:rsidRPr="003234C5" w:rsidRDefault="00427BD0" w:rsidP="00D92111">
            <w:pPr>
              <w:spacing w:after="0"/>
              <w:jc w:val="right"/>
              <w:rPr>
                <w:rFonts w:ascii="Arial" w:hAnsi="Arial" w:cs="Arial"/>
                <w:sz w:val="20"/>
                <w:szCs w:val="20"/>
              </w:rPr>
            </w:pPr>
            <w:r>
              <w:rPr>
                <w:rFonts w:ascii="Arial" w:hAnsi="Arial" w:cs="Arial"/>
                <w:color w:val="000000"/>
                <w:sz w:val="20"/>
                <w:szCs w:val="20"/>
              </w:rPr>
              <w:t>(</w:t>
            </w:r>
            <w:r w:rsidR="00D92111">
              <w:rPr>
                <w:rFonts w:ascii="Arial" w:hAnsi="Arial" w:cs="Arial"/>
                <w:color w:val="000000"/>
                <w:sz w:val="20"/>
                <w:szCs w:val="20"/>
              </w:rPr>
              <w:t>5.46</w:t>
            </w:r>
            <w:r w:rsidR="004620E1">
              <w:rPr>
                <w:rFonts w:ascii="Arial" w:hAnsi="Arial" w:cs="Arial"/>
                <w:color w:val="000000"/>
                <w:sz w:val="20"/>
                <w:szCs w:val="20"/>
              </w:rPr>
              <w:t>7</w:t>
            </w:r>
            <w:r>
              <w:rPr>
                <w:rFonts w:ascii="Arial" w:hAnsi="Arial" w:cs="Arial"/>
                <w:color w:val="000000"/>
                <w:sz w:val="20"/>
                <w:szCs w:val="20"/>
              </w:rPr>
              <w:t>)</w:t>
            </w:r>
          </w:p>
        </w:tc>
      </w:tr>
      <w:tr w:rsidR="00D92111" w:rsidRPr="003234C5" w14:paraId="115AA911" w14:textId="77777777" w:rsidTr="008B68E8">
        <w:trPr>
          <w:trHeight w:val="240"/>
          <w:jc w:val="center"/>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2B7BF936" w14:textId="5FF4C5A1" w:rsidR="00D92111" w:rsidRPr="003234C5" w:rsidRDefault="00D92111" w:rsidP="00D92111">
            <w:pPr>
              <w:spacing w:after="0"/>
              <w:rPr>
                <w:rFonts w:ascii="Arial" w:hAnsi="Arial" w:cs="Arial"/>
                <w:sz w:val="20"/>
                <w:szCs w:val="20"/>
              </w:rPr>
            </w:pPr>
            <w:r w:rsidRPr="003234C5">
              <w:rPr>
                <w:rFonts w:ascii="Arial" w:hAnsi="Arial" w:cs="Arial"/>
                <w:sz w:val="20"/>
                <w:szCs w:val="20"/>
              </w:rPr>
              <w:t xml:space="preserve"> Despesas Tributárias</w:t>
            </w:r>
          </w:p>
        </w:tc>
        <w:tc>
          <w:tcPr>
            <w:tcW w:w="1701" w:type="dxa"/>
            <w:tcBorders>
              <w:top w:val="nil"/>
              <w:left w:val="nil"/>
              <w:bottom w:val="single" w:sz="4" w:space="0" w:color="auto"/>
              <w:right w:val="single" w:sz="4" w:space="0" w:color="auto"/>
            </w:tcBorders>
            <w:vAlign w:val="center"/>
          </w:tcPr>
          <w:p w14:paraId="4E14616F" w14:textId="369E81C7" w:rsidR="00D92111" w:rsidRPr="003234C5" w:rsidRDefault="00427BD0" w:rsidP="00D92111">
            <w:pPr>
              <w:spacing w:after="0"/>
              <w:jc w:val="right"/>
              <w:rPr>
                <w:rFonts w:ascii="Arial" w:hAnsi="Arial" w:cs="Arial"/>
                <w:sz w:val="20"/>
                <w:szCs w:val="20"/>
              </w:rPr>
            </w:pPr>
            <w:r>
              <w:rPr>
                <w:rFonts w:ascii="Arial" w:hAnsi="Arial" w:cs="Arial"/>
                <w:sz w:val="20"/>
                <w:szCs w:val="20"/>
              </w:rPr>
              <w:t>(</w:t>
            </w:r>
            <w:r w:rsidR="00B35883">
              <w:rPr>
                <w:rFonts w:ascii="Arial" w:hAnsi="Arial" w:cs="Arial"/>
                <w:sz w:val="20"/>
                <w:szCs w:val="20"/>
              </w:rPr>
              <w:t>3.892</w:t>
            </w:r>
            <w:r>
              <w:rPr>
                <w:rFonts w:ascii="Arial" w:hAnsi="Arial" w:cs="Arial"/>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14:paraId="7EEAD0D6" w14:textId="73D0C5C8" w:rsidR="00D92111" w:rsidRPr="003234C5" w:rsidRDefault="00427BD0" w:rsidP="00D92111">
            <w:pPr>
              <w:spacing w:after="0"/>
              <w:jc w:val="right"/>
              <w:rPr>
                <w:rFonts w:ascii="Arial" w:hAnsi="Arial" w:cs="Arial"/>
                <w:sz w:val="20"/>
                <w:szCs w:val="20"/>
              </w:rPr>
            </w:pPr>
            <w:r>
              <w:rPr>
                <w:rFonts w:ascii="Arial" w:hAnsi="Arial" w:cs="Arial"/>
                <w:color w:val="000000"/>
                <w:sz w:val="20"/>
                <w:szCs w:val="20"/>
              </w:rPr>
              <w:t>(</w:t>
            </w:r>
            <w:r w:rsidR="00D92111">
              <w:rPr>
                <w:rFonts w:ascii="Arial" w:hAnsi="Arial" w:cs="Arial"/>
                <w:color w:val="000000"/>
                <w:sz w:val="20"/>
                <w:szCs w:val="20"/>
              </w:rPr>
              <w:t>4.08</w:t>
            </w:r>
            <w:r w:rsidR="004620E1">
              <w:rPr>
                <w:rFonts w:ascii="Arial" w:hAnsi="Arial" w:cs="Arial"/>
                <w:color w:val="000000"/>
                <w:sz w:val="20"/>
                <w:szCs w:val="20"/>
              </w:rPr>
              <w:t>6</w:t>
            </w:r>
            <w:r>
              <w:rPr>
                <w:rFonts w:ascii="Arial" w:hAnsi="Arial" w:cs="Arial"/>
                <w:color w:val="000000"/>
                <w:sz w:val="20"/>
                <w:szCs w:val="20"/>
              </w:rPr>
              <w:t>)</w:t>
            </w:r>
          </w:p>
        </w:tc>
      </w:tr>
      <w:bookmarkEnd w:id="43"/>
      <w:tr w:rsidR="00D92111" w:rsidRPr="003234C5" w14:paraId="03D0A55F" w14:textId="77777777" w:rsidTr="008B68E8">
        <w:trPr>
          <w:trHeight w:val="240"/>
          <w:jc w:val="center"/>
        </w:trPr>
        <w:tc>
          <w:tcPr>
            <w:tcW w:w="5529"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2EC4F22" w14:textId="77777777" w:rsidR="00D92111" w:rsidRPr="003234C5" w:rsidRDefault="00D92111" w:rsidP="00D92111">
            <w:pPr>
              <w:spacing w:after="0"/>
              <w:rPr>
                <w:rFonts w:ascii="Arial" w:hAnsi="Arial" w:cs="Arial"/>
                <w:b/>
                <w:bCs/>
                <w:color w:val="000000"/>
                <w:sz w:val="20"/>
                <w:szCs w:val="20"/>
              </w:rPr>
            </w:pPr>
            <w:r w:rsidRPr="003234C5">
              <w:rPr>
                <w:rFonts w:ascii="Arial" w:hAnsi="Arial" w:cs="Arial"/>
                <w:b/>
                <w:bCs/>
                <w:color w:val="000000"/>
                <w:sz w:val="20"/>
                <w:szCs w:val="20"/>
              </w:rPr>
              <w:t>TOTAL</w:t>
            </w:r>
          </w:p>
        </w:tc>
        <w:tc>
          <w:tcPr>
            <w:tcW w:w="1701" w:type="dxa"/>
            <w:tcBorders>
              <w:top w:val="single" w:sz="4" w:space="0" w:color="auto"/>
              <w:left w:val="nil"/>
              <w:bottom w:val="single" w:sz="4" w:space="0" w:color="auto"/>
              <w:right w:val="single" w:sz="4" w:space="0" w:color="auto"/>
            </w:tcBorders>
            <w:shd w:val="clear" w:color="000000" w:fill="D8D8D8"/>
            <w:vAlign w:val="center"/>
          </w:tcPr>
          <w:p w14:paraId="7EA49FCB" w14:textId="4395B342" w:rsidR="00D92111" w:rsidRPr="003234C5" w:rsidRDefault="004042C7" w:rsidP="00D92111">
            <w:pPr>
              <w:spacing w:after="0"/>
              <w:jc w:val="right"/>
              <w:rPr>
                <w:rFonts w:ascii="Arial" w:hAnsi="Arial" w:cs="Arial"/>
                <w:b/>
                <w:bCs/>
                <w:color w:val="000000"/>
                <w:sz w:val="20"/>
                <w:szCs w:val="20"/>
              </w:rPr>
            </w:pPr>
            <w:r>
              <w:rPr>
                <w:rFonts w:ascii="Arial" w:hAnsi="Arial" w:cs="Arial"/>
                <w:b/>
                <w:bCs/>
                <w:color w:val="000000"/>
                <w:sz w:val="20"/>
                <w:szCs w:val="20"/>
              </w:rPr>
              <w:t>(</w:t>
            </w:r>
            <w:r w:rsidR="00B35883">
              <w:rPr>
                <w:rFonts w:ascii="Arial" w:hAnsi="Arial" w:cs="Arial"/>
                <w:b/>
                <w:bCs/>
                <w:color w:val="000000"/>
                <w:sz w:val="20"/>
                <w:szCs w:val="20"/>
              </w:rPr>
              <w:t>29.086</w:t>
            </w:r>
            <w:r>
              <w:rPr>
                <w:rFonts w:ascii="Arial" w:hAnsi="Arial" w:cs="Arial"/>
                <w:b/>
                <w:bCs/>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D8D8D8"/>
            <w:noWrap/>
            <w:vAlign w:val="center"/>
          </w:tcPr>
          <w:p w14:paraId="0C9323CA" w14:textId="0AAF5935" w:rsidR="00D92111" w:rsidRPr="003234C5" w:rsidRDefault="004042C7" w:rsidP="00D92111">
            <w:pPr>
              <w:spacing w:after="0"/>
              <w:jc w:val="right"/>
              <w:rPr>
                <w:rFonts w:ascii="Arial" w:hAnsi="Arial" w:cs="Arial"/>
                <w:b/>
                <w:bCs/>
                <w:color w:val="000000"/>
                <w:sz w:val="20"/>
                <w:szCs w:val="20"/>
              </w:rPr>
            </w:pPr>
            <w:r>
              <w:rPr>
                <w:rFonts w:ascii="Arial" w:hAnsi="Arial" w:cs="Arial"/>
                <w:b/>
                <w:bCs/>
                <w:color w:val="000000"/>
                <w:sz w:val="20"/>
                <w:szCs w:val="20"/>
              </w:rPr>
              <w:t>(</w:t>
            </w:r>
            <w:r w:rsidR="00D92111">
              <w:rPr>
                <w:rFonts w:ascii="Arial" w:hAnsi="Arial" w:cs="Arial"/>
                <w:b/>
                <w:bCs/>
                <w:color w:val="000000"/>
                <w:sz w:val="20"/>
                <w:szCs w:val="20"/>
              </w:rPr>
              <w:t>25.600</w:t>
            </w:r>
            <w:r>
              <w:rPr>
                <w:rFonts w:ascii="Arial" w:hAnsi="Arial" w:cs="Arial"/>
                <w:b/>
                <w:bCs/>
                <w:color w:val="000000"/>
                <w:sz w:val="20"/>
                <w:szCs w:val="20"/>
              </w:rPr>
              <w:t>)</w:t>
            </w:r>
          </w:p>
        </w:tc>
      </w:tr>
    </w:tbl>
    <w:p w14:paraId="192623EB" w14:textId="34857124" w:rsidR="00200682" w:rsidRPr="003234C5" w:rsidRDefault="00200682" w:rsidP="00200682">
      <w:pPr>
        <w:jc w:val="both"/>
        <w:rPr>
          <w:rFonts w:ascii="Arial" w:hAnsi="Arial" w:cs="Arial"/>
          <w:b/>
        </w:rPr>
      </w:pPr>
      <w:r w:rsidRPr="003234C5">
        <w:rPr>
          <w:rFonts w:ascii="Arial" w:hAnsi="Arial" w:cs="Arial"/>
          <w:b/>
        </w:rPr>
        <w:lastRenderedPageBreak/>
        <w:t xml:space="preserve">NOTA </w:t>
      </w:r>
      <w:r w:rsidR="00F62EE3" w:rsidRPr="003234C5">
        <w:rPr>
          <w:rFonts w:ascii="Arial" w:hAnsi="Arial" w:cs="Arial"/>
          <w:b/>
        </w:rPr>
        <w:t>3</w:t>
      </w:r>
      <w:r w:rsidR="005953BA">
        <w:rPr>
          <w:rFonts w:ascii="Arial" w:hAnsi="Arial" w:cs="Arial"/>
          <w:b/>
        </w:rPr>
        <w:t>1</w:t>
      </w:r>
      <w:r w:rsidRPr="003234C5">
        <w:rPr>
          <w:rFonts w:ascii="Arial" w:hAnsi="Arial" w:cs="Arial"/>
          <w:b/>
        </w:rPr>
        <w:t xml:space="preserve">. OUTRAS RECEITAS E DESPESAS OPERACIONAIS </w:t>
      </w:r>
    </w:p>
    <w:p w14:paraId="507B4E7A" w14:textId="3A69A559" w:rsidR="00C62487" w:rsidRPr="003234C5" w:rsidRDefault="00200682" w:rsidP="00200682">
      <w:pPr>
        <w:autoSpaceDE w:val="0"/>
        <w:autoSpaceDN w:val="0"/>
        <w:adjustRightInd w:val="0"/>
        <w:jc w:val="both"/>
        <w:rPr>
          <w:rFonts w:ascii="Arial" w:hAnsi="Arial" w:cs="Arial"/>
        </w:rPr>
      </w:pPr>
      <w:r w:rsidRPr="003234C5">
        <w:rPr>
          <w:rFonts w:ascii="Arial" w:hAnsi="Arial" w:cs="Arial"/>
        </w:rPr>
        <w:t xml:space="preserve">Outras Receitas Operacionais referem-se às penalidades originadas por aplicação de cláusulas contratuais com os clientes. As Outras Despesas Operacionais são penalidades concernentes ao contrato de compra e venda de gás com </w:t>
      </w:r>
      <w:r w:rsidR="00C51487" w:rsidRPr="003234C5">
        <w:rPr>
          <w:rFonts w:ascii="Arial" w:hAnsi="Arial" w:cs="Arial"/>
        </w:rPr>
        <w:t xml:space="preserve">o supridor </w:t>
      </w:r>
      <w:r w:rsidR="00761A1E" w:rsidRPr="003234C5">
        <w:rPr>
          <w:rFonts w:ascii="Arial" w:hAnsi="Arial" w:cs="Arial"/>
        </w:rPr>
        <w:t>Petrobras</w:t>
      </w:r>
      <w:r w:rsidRPr="003234C5">
        <w:rPr>
          <w:rFonts w:ascii="Arial" w:hAnsi="Arial" w:cs="Arial"/>
        </w:rPr>
        <w:t xml:space="preserve"> </w:t>
      </w:r>
      <w:r w:rsidR="005823EC">
        <w:rPr>
          <w:rFonts w:ascii="Arial" w:hAnsi="Arial" w:cs="Arial"/>
        </w:rPr>
        <w:t xml:space="preserve">e </w:t>
      </w:r>
      <w:r w:rsidR="006A6665" w:rsidRPr="005823EC">
        <w:rPr>
          <w:rFonts w:ascii="Arial" w:hAnsi="Arial" w:cs="Arial"/>
        </w:rPr>
        <w:t>Perdas Estimadas no Recebimento de Créditos</w:t>
      </w:r>
      <w:r w:rsidRPr="003234C5">
        <w:rPr>
          <w:rFonts w:ascii="Arial" w:hAnsi="Arial" w:cs="Arial"/>
        </w:rPr>
        <w:t>. As Outras Receitas e Despesas estão discriminadas na tabela a</w:t>
      </w:r>
      <w:r w:rsidR="00BD7282" w:rsidRPr="003234C5">
        <w:rPr>
          <w:rFonts w:ascii="Arial" w:hAnsi="Arial" w:cs="Arial"/>
        </w:rPr>
        <w:t xml:space="preserve"> seguir</w:t>
      </w:r>
      <w:r w:rsidRPr="003234C5">
        <w:rPr>
          <w:rFonts w:ascii="Arial" w:hAnsi="Arial" w:cs="Arial"/>
        </w:rPr>
        <w:t>:</w:t>
      </w:r>
    </w:p>
    <w:tbl>
      <w:tblPr>
        <w:tblW w:w="901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1885"/>
        <w:gridCol w:w="1885"/>
      </w:tblGrid>
      <w:tr w:rsidR="00492DEB" w:rsidRPr="003234C5" w14:paraId="3461C497" w14:textId="77777777" w:rsidTr="008B68E8">
        <w:trPr>
          <w:trHeight w:val="295"/>
          <w:jc w:val="right"/>
        </w:trPr>
        <w:tc>
          <w:tcPr>
            <w:tcW w:w="5245" w:type="dxa"/>
            <w:shd w:val="clear" w:color="auto" w:fill="C0C0C0"/>
            <w:vAlign w:val="center"/>
          </w:tcPr>
          <w:p w14:paraId="1E027D85" w14:textId="3F508F16" w:rsidR="00492DEB" w:rsidRPr="003234C5" w:rsidRDefault="00492DEB" w:rsidP="00492DEB">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RECEITAS (A)</w:t>
            </w:r>
          </w:p>
        </w:tc>
        <w:tc>
          <w:tcPr>
            <w:tcW w:w="1885" w:type="dxa"/>
            <w:shd w:val="clear" w:color="auto" w:fill="C0C0C0"/>
            <w:vAlign w:val="bottom"/>
          </w:tcPr>
          <w:p w14:paraId="609626AA" w14:textId="44E8D5E1" w:rsidR="00492DEB" w:rsidRPr="003234C5" w:rsidRDefault="00C6257E" w:rsidP="00492DE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885" w:type="dxa"/>
            <w:shd w:val="clear" w:color="auto" w:fill="C0C0C0"/>
            <w:vAlign w:val="bottom"/>
          </w:tcPr>
          <w:p w14:paraId="7B562F4E" w14:textId="7AF83942" w:rsidR="00492DEB" w:rsidRPr="003234C5" w:rsidRDefault="00C6257E" w:rsidP="00492DE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D92111" w:rsidRPr="003234C5" w14:paraId="40298FBB" w14:textId="77777777" w:rsidTr="008B68E8">
        <w:trPr>
          <w:trHeight w:val="295"/>
          <w:jc w:val="right"/>
        </w:trPr>
        <w:tc>
          <w:tcPr>
            <w:tcW w:w="5245" w:type="dxa"/>
            <w:shd w:val="clear" w:color="auto" w:fill="FFFFFF"/>
            <w:vAlign w:val="bottom"/>
          </w:tcPr>
          <w:p w14:paraId="25BF9512" w14:textId="701E2223" w:rsidR="00D92111" w:rsidRPr="003234C5" w:rsidRDefault="00D92111" w:rsidP="00D92111">
            <w:pPr>
              <w:spacing w:after="0"/>
              <w:jc w:val="both"/>
              <w:rPr>
                <w:rFonts w:ascii="Arial" w:hAnsi="Arial" w:cs="Arial"/>
                <w:sz w:val="20"/>
                <w:szCs w:val="20"/>
              </w:rPr>
            </w:pPr>
            <w:r w:rsidRPr="003234C5">
              <w:rPr>
                <w:rFonts w:ascii="Arial" w:hAnsi="Arial" w:cs="Arial"/>
                <w:sz w:val="20"/>
                <w:szCs w:val="20"/>
              </w:rPr>
              <w:t>Penalidade de retirada de gás a maior e a menor</w:t>
            </w:r>
          </w:p>
        </w:tc>
        <w:tc>
          <w:tcPr>
            <w:tcW w:w="1885" w:type="dxa"/>
            <w:shd w:val="clear" w:color="auto" w:fill="FFFFFF"/>
            <w:vAlign w:val="center"/>
          </w:tcPr>
          <w:p w14:paraId="41C6A091" w14:textId="043B5730" w:rsidR="00D92111" w:rsidRPr="003234C5" w:rsidRDefault="005C0371" w:rsidP="00D92111">
            <w:pPr>
              <w:spacing w:after="0"/>
              <w:jc w:val="right"/>
              <w:rPr>
                <w:rFonts w:ascii="Arial" w:hAnsi="Arial" w:cs="Arial"/>
                <w:sz w:val="20"/>
                <w:szCs w:val="20"/>
              </w:rPr>
            </w:pPr>
            <w:r>
              <w:rPr>
                <w:rFonts w:ascii="Arial" w:hAnsi="Arial" w:cs="Arial"/>
                <w:sz w:val="20"/>
                <w:szCs w:val="20"/>
              </w:rPr>
              <w:t>2.075</w:t>
            </w:r>
          </w:p>
        </w:tc>
        <w:tc>
          <w:tcPr>
            <w:tcW w:w="1885" w:type="dxa"/>
            <w:shd w:val="clear" w:color="auto" w:fill="FFFFFF"/>
            <w:vAlign w:val="center"/>
          </w:tcPr>
          <w:p w14:paraId="7C0AAA06" w14:textId="3B661976" w:rsidR="00D92111" w:rsidRPr="002F64A5" w:rsidRDefault="00873B9A" w:rsidP="00D92111">
            <w:pPr>
              <w:spacing w:after="0"/>
              <w:jc w:val="right"/>
              <w:rPr>
                <w:rFonts w:ascii="Arial" w:hAnsi="Arial" w:cs="Arial"/>
                <w:sz w:val="20"/>
                <w:szCs w:val="20"/>
                <w:highlight w:val="yellow"/>
              </w:rPr>
            </w:pPr>
            <w:r w:rsidRPr="00A228B6">
              <w:rPr>
                <w:rFonts w:ascii="Arial" w:hAnsi="Arial" w:cs="Arial"/>
                <w:sz w:val="20"/>
                <w:szCs w:val="20"/>
              </w:rPr>
              <w:t xml:space="preserve">                        392</w:t>
            </w:r>
          </w:p>
        </w:tc>
      </w:tr>
      <w:tr w:rsidR="00D70A9F" w:rsidRPr="003234C5" w14:paraId="343A0CB6" w14:textId="77777777" w:rsidTr="008B68E8">
        <w:trPr>
          <w:trHeight w:val="295"/>
          <w:jc w:val="right"/>
        </w:trPr>
        <w:tc>
          <w:tcPr>
            <w:tcW w:w="5245" w:type="dxa"/>
            <w:shd w:val="clear" w:color="auto" w:fill="FFFFFF"/>
            <w:vAlign w:val="bottom"/>
          </w:tcPr>
          <w:p w14:paraId="157BD3F9" w14:textId="735141E8" w:rsidR="00D70A9F" w:rsidRPr="003234C5" w:rsidRDefault="00D70A9F" w:rsidP="00D70A9F">
            <w:pPr>
              <w:spacing w:after="0"/>
              <w:jc w:val="both"/>
              <w:rPr>
                <w:rFonts w:ascii="Arial" w:hAnsi="Arial" w:cs="Arial"/>
                <w:i/>
                <w:sz w:val="20"/>
                <w:szCs w:val="20"/>
              </w:rPr>
            </w:pPr>
            <w:r w:rsidRPr="003234C5">
              <w:rPr>
                <w:rFonts w:ascii="Arial" w:hAnsi="Arial" w:cs="Arial"/>
                <w:sz w:val="20"/>
                <w:szCs w:val="20"/>
              </w:rPr>
              <w:t xml:space="preserve">Penalidade de transporte de gás térmico </w:t>
            </w:r>
            <w:r w:rsidRPr="003234C5">
              <w:rPr>
                <w:rFonts w:ascii="Arial" w:hAnsi="Arial" w:cs="Arial"/>
                <w:i/>
                <w:sz w:val="20"/>
                <w:szCs w:val="20"/>
              </w:rPr>
              <w:t>(</w:t>
            </w:r>
            <w:proofErr w:type="spellStart"/>
            <w:r w:rsidRPr="003234C5">
              <w:rPr>
                <w:rFonts w:ascii="Arial" w:hAnsi="Arial" w:cs="Arial"/>
                <w:i/>
                <w:sz w:val="20"/>
                <w:szCs w:val="20"/>
              </w:rPr>
              <w:t>Ship</w:t>
            </w:r>
            <w:proofErr w:type="spellEnd"/>
            <w:r w:rsidRPr="003234C5">
              <w:rPr>
                <w:rFonts w:ascii="Arial" w:hAnsi="Arial" w:cs="Arial"/>
                <w:i/>
                <w:sz w:val="20"/>
                <w:szCs w:val="20"/>
              </w:rPr>
              <w:t xml:space="preserve"> </w:t>
            </w:r>
            <w:proofErr w:type="spellStart"/>
            <w:r w:rsidRPr="003234C5">
              <w:rPr>
                <w:rFonts w:ascii="Arial" w:hAnsi="Arial" w:cs="Arial"/>
                <w:i/>
                <w:sz w:val="20"/>
                <w:szCs w:val="20"/>
              </w:rPr>
              <w:t>or</w:t>
            </w:r>
            <w:proofErr w:type="spellEnd"/>
            <w:r w:rsidRPr="003234C5">
              <w:rPr>
                <w:rFonts w:ascii="Arial" w:hAnsi="Arial" w:cs="Arial"/>
                <w:i/>
                <w:sz w:val="20"/>
                <w:szCs w:val="20"/>
              </w:rPr>
              <w:t xml:space="preserve"> </w:t>
            </w:r>
            <w:proofErr w:type="spellStart"/>
            <w:r w:rsidRPr="003234C5">
              <w:rPr>
                <w:rFonts w:ascii="Arial" w:hAnsi="Arial" w:cs="Arial"/>
                <w:i/>
                <w:sz w:val="20"/>
                <w:szCs w:val="20"/>
              </w:rPr>
              <w:t>pay</w:t>
            </w:r>
            <w:proofErr w:type="spellEnd"/>
            <w:r w:rsidRPr="003234C5">
              <w:rPr>
                <w:rFonts w:ascii="Arial" w:hAnsi="Arial" w:cs="Arial"/>
                <w:i/>
                <w:sz w:val="20"/>
                <w:szCs w:val="20"/>
              </w:rPr>
              <w:t>)</w:t>
            </w:r>
          </w:p>
        </w:tc>
        <w:tc>
          <w:tcPr>
            <w:tcW w:w="1885" w:type="dxa"/>
            <w:shd w:val="clear" w:color="auto" w:fill="FFFFFF"/>
            <w:vAlign w:val="center"/>
          </w:tcPr>
          <w:p w14:paraId="4A7FC588" w14:textId="2E9E2F75" w:rsidR="00D70A9F" w:rsidRPr="003234C5" w:rsidRDefault="00D70A9F" w:rsidP="00D70A9F">
            <w:pPr>
              <w:spacing w:after="0"/>
              <w:jc w:val="right"/>
              <w:rPr>
                <w:rFonts w:ascii="Arial" w:hAnsi="Arial" w:cs="Arial"/>
                <w:sz w:val="20"/>
                <w:szCs w:val="20"/>
              </w:rPr>
            </w:pPr>
            <w:r>
              <w:rPr>
                <w:rFonts w:ascii="Arial" w:hAnsi="Arial" w:cs="Arial"/>
                <w:sz w:val="20"/>
                <w:szCs w:val="20"/>
              </w:rPr>
              <w:t>52.874</w:t>
            </w:r>
          </w:p>
        </w:tc>
        <w:tc>
          <w:tcPr>
            <w:tcW w:w="1885" w:type="dxa"/>
            <w:shd w:val="clear" w:color="auto" w:fill="FFFFFF"/>
            <w:vAlign w:val="center"/>
          </w:tcPr>
          <w:p w14:paraId="22C9D696" w14:textId="7AB1C947" w:rsidR="00D70A9F" w:rsidRPr="002F64A5" w:rsidRDefault="00D70A9F" w:rsidP="00D70A9F">
            <w:pPr>
              <w:spacing w:after="0"/>
              <w:jc w:val="right"/>
              <w:rPr>
                <w:rFonts w:ascii="Arial" w:hAnsi="Arial" w:cs="Arial"/>
                <w:sz w:val="20"/>
                <w:szCs w:val="20"/>
                <w:highlight w:val="yellow"/>
              </w:rPr>
            </w:pPr>
            <w:r w:rsidRPr="00A228B6">
              <w:rPr>
                <w:rFonts w:ascii="Arial" w:hAnsi="Arial" w:cs="Arial"/>
                <w:sz w:val="20"/>
                <w:szCs w:val="20"/>
              </w:rPr>
              <w:t xml:space="preserve">                     5.139 </w:t>
            </w:r>
          </w:p>
        </w:tc>
      </w:tr>
      <w:tr w:rsidR="00D70A9F" w:rsidRPr="003234C5" w14:paraId="1D1E606C" w14:textId="77777777" w:rsidTr="008B68E8">
        <w:trPr>
          <w:trHeight w:val="295"/>
          <w:jc w:val="right"/>
        </w:trPr>
        <w:tc>
          <w:tcPr>
            <w:tcW w:w="5245" w:type="dxa"/>
            <w:shd w:val="clear" w:color="auto" w:fill="FFFFFF"/>
            <w:vAlign w:val="bottom"/>
          </w:tcPr>
          <w:p w14:paraId="32068240" w14:textId="0BC767C0" w:rsidR="00D70A9F" w:rsidRPr="003234C5" w:rsidRDefault="00D70A9F" w:rsidP="00D70A9F">
            <w:pPr>
              <w:spacing w:after="0"/>
              <w:jc w:val="both"/>
              <w:rPr>
                <w:rFonts w:ascii="Arial" w:hAnsi="Arial" w:cs="Arial"/>
                <w:sz w:val="20"/>
                <w:szCs w:val="20"/>
              </w:rPr>
            </w:pPr>
            <w:r w:rsidRPr="003234C5">
              <w:rPr>
                <w:rFonts w:ascii="Arial" w:hAnsi="Arial" w:cs="Arial"/>
                <w:sz w:val="20"/>
                <w:szCs w:val="20"/>
              </w:rPr>
              <w:t>Penalidade de Falha de fornecimento</w:t>
            </w:r>
          </w:p>
        </w:tc>
        <w:tc>
          <w:tcPr>
            <w:tcW w:w="1885" w:type="dxa"/>
            <w:shd w:val="clear" w:color="auto" w:fill="FFFFFF"/>
            <w:vAlign w:val="center"/>
          </w:tcPr>
          <w:p w14:paraId="3EBFACD0" w14:textId="032A617E" w:rsidR="00D70A9F" w:rsidRPr="003234C5" w:rsidRDefault="00D70A9F" w:rsidP="00D70A9F">
            <w:pPr>
              <w:spacing w:after="0"/>
              <w:jc w:val="right"/>
              <w:rPr>
                <w:rFonts w:ascii="Arial" w:hAnsi="Arial" w:cs="Arial"/>
                <w:sz w:val="20"/>
                <w:szCs w:val="20"/>
              </w:rPr>
            </w:pPr>
            <w:r>
              <w:rPr>
                <w:rFonts w:ascii="Arial" w:hAnsi="Arial" w:cs="Arial"/>
                <w:sz w:val="20"/>
                <w:szCs w:val="20"/>
              </w:rPr>
              <w:t>1.173</w:t>
            </w:r>
          </w:p>
        </w:tc>
        <w:tc>
          <w:tcPr>
            <w:tcW w:w="1885" w:type="dxa"/>
            <w:shd w:val="clear" w:color="auto" w:fill="FFFFFF"/>
            <w:vAlign w:val="center"/>
          </w:tcPr>
          <w:p w14:paraId="5A55800D" w14:textId="1770AFDD" w:rsidR="00D70A9F" w:rsidRPr="002F64A5" w:rsidRDefault="006B0726" w:rsidP="00D70A9F">
            <w:pPr>
              <w:spacing w:after="0"/>
              <w:jc w:val="right"/>
              <w:rPr>
                <w:rFonts w:ascii="Arial" w:hAnsi="Arial" w:cs="Arial"/>
                <w:sz w:val="20"/>
                <w:szCs w:val="20"/>
                <w:highlight w:val="yellow"/>
              </w:rPr>
            </w:pPr>
            <w:r w:rsidRPr="00A228B6">
              <w:rPr>
                <w:rFonts w:ascii="Arial" w:hAnsi="Arial" w:cs="Arial"/>
                <w:sz w:val="20"/>
                <w:szCs w:val="20"/>
              </w:rPr>
              <w:t xml:space="preserve">                        102</w:t>
            </w:r>
          </w:p>
        </w:tc>
      </w:tr>
      <w:tr w:rsidR="00D70A9F" w:rsidRPr="003234C5" w14:paraId="4D5DB10B" w14:textId="77777777" w:rsidTr="008B68E8">
        <w:trPr>
          <w:trHeight w:val="295"/>
          <w:jc w:val="right"/>
        </w:trPr>
        <w:tc>
          <w:tcPr>
            <w:tcW w:w="5245" w:type="dxa"/>
            <w:shd w:val="clear" w:color="auto" w:fill="FFFFFF"/>
            <w:vAlign w:val="bottom"/>
          </w:tcPr>
          <w:p w14:paraId="3165BFB7" w14:textId="7E013CD6" w:rsidR="00D70A9F" w:rsidRPr="003234C5" w:rsidRDefault="00D70A9F" w:rsidP="00D70A9F">
            <w:pPr>
              <w:spacing w:after="0"/>
              <w:jc w:val="both"/>
              <w:rPr>
                <w:rFonts w:ascii="Arial" w:hAnsi="Arial" w:cs="Arial"/>
                <w:sz w:val="20"/>
                <w:szCs w:val="20"/>
              </w:rPr>
            </w:pPr>
            <w:r w:rsidRPr="003234C5">
              <w:rPr>
                <w:rFonts w:ascii="Arial" w:hAnsi="Arial" w:cs="Arial"/>
                <w:sz w:val="20"/>
                <w:szCs w:val="20"/>
              </w:rPr>
              <w:t>Penalidade de retirada de gás (Binomial)</w:t>
            </w:r>
          </w:p>
        </w:tc>
        <w:tc>
          <w:tcPr>
            <w:tcW w:w="1885" w:type="dxa"/>
            <w:shd w:val="clear" w:color="auto" w:fill="FFFFFF"/>
            <w:vAlign w:val="center"/>
          </w:tcPr>
          <w:p w14:paraId="277896F7" w14:textId="01C4269B" w:rsidR="00D70A9F" w:rsidRPr="003234C5" w:rsidRDefault="00D70A9F" w:rsidP="00D70A9F">
            <w:pPr>
              <w:spacing w:after="0"/>
              <w:jc w:val="right"/>
              <w:rPr>
                <w:rFonts w:ascii="Arial" w:hAnsi="Arial" w:cs="Arial"/>
                <w:sz w:val="20"/>
                <w:szCs w:val="20"/>
              </w:rPr>
            </w:pPr>
            <w:r>
              <w:rPr>
                <w:rFonts w:ascii="Arial" w:hAnsi="Arial" w:cs="Arial"/>
                <w:sz w:val="20"/>
                <w:szCs w:val="20"/>
              </w:rPr>
              <w:t>1.645</w:t>
            </w:r>
          </w:p>
        </w:tc>
        <w:tc>
          <w:tcPr>
            <w:tcW w:w="1885" w:type="dxa"/>
            <w:shd w:val="clear" w:color="auto" w:fill="FFFFFF"/>
            <w:vAlign w:val="center"/>
          </w:tcPr>
          <w:p w14:paraId="58444025" w14:textId="2704DA44" w:rsidR="00D70A9F" w:rsidRPr="002F64A5" w:rsidRDefault="009F10BA" w:rsidP="00D70A9F">
            <w:pPr>
              <w:spacing w:after="0"/>
              <w:jc w:val="right"/>
              <w:rPr>
                <w:rFonts w:ascii="Arial" w:hAnsi="Arial" w:cs="Arial"/>
                <w:sz w:val="20"/>
                <w:szCs w:val="20"/>
                <w:highlight w:val="yellow"/>
              </w:rPr>
            </w:pPr>
            <w:r w:rsidRPr="00A228B6">
              <w:rPr>
                <w:rFonts w:ascii="Arial" w:hAnsi="Arial" w:cs="Arial"/>
                <w:sz w:val="20"/>
                <w:szCs w:val="20"/>
              </w:rPr>
              <w:t xml:space="preserve">                     3.136</w:t>
            </w:r>
          </w:p>
        </w:tc>
      </w:tr>
      <w:tr w:rsidR="00D70A9F" w:rsidRPr="003234C5" w14:paraId="14EC4B6A" w14:textId="77777777" w:rsidTr="008B68E8">
        <w:trPr>
          <w:trHeight w:val="295"/>
          <w:jc w:val="right"/>
        </w:trPr>
        <w:tc>
          <w:tcPr>
            <w:tcW w:w="5245" w:type="dxa"/>
            <w:shd w:val="clear" w:color="auto" w:fill="FFFFFF"/>
            <w:vAlign w:val="bottom"/>
          </w:tcPr>
          <w:p w14:paraId="1E5DD887" w14:textId="1053DC9A" w:rsidR="00D70A9F" w:rsidRPr="003234C5" w:rsidRDefault="00D70A9F" w:rsidP="00D70A9F">
            <w:pPr>
              <w:spacing w:after="0"/>
              <w:jc w:val="both"/>
              <w:rPr>
                <w:rFonts w:ascii="Arial" w:hAnsi="Arial" w:cs="Arial"/>
                <w:sz w:val="20"/>
                <w:szCs w:val="20"/>
              </w:rPr>
            </w:pPr>
            <w:r w:rsidRPr="003234C5">
              <w:rPr>
                <w:rFonts w:ascii="Arial" w:hAnsi="Arial" w:cs="Arial"/>
                <w:sz w:val="20"/>
                <w:szCs w:val="20"/>
              </w:rPr>
              <w:t>Multa contratual</w:t>
            </w:r>
          </w:p>
        </w:tc>
        <w:tc>
          <w:tcPr>
            <w:tcW w:w="1885" w:type="dxa"/>
            <w:shd w:val="clear" w:color="auto" w:fill="FFFFFF"/>
            <w:vAlign w:val="center"/>
          </w:tcPr>
          <w:p w14:paraId="11486B3E" w14:textId="3E926B29" w:rsidR="00D70A9F" w:rsidRPr="003234C5" w:rsidRDefault="00D70A9F" w:rsidP="00D70A9F">
            <w:pPr>
              <w:spacing w:after="0"/>
              <w:jc w:val="right"/>
              <w:rPr>
                <w:rFonts w:ascii="Arial" w:hAnsi="Arial" w:cs="Arial"/>
                <w:sz w:val="20"/>
                <w:szCs w:val="20"/>
              </w:rPr>
            </w:pPr>
            <w:r>
              <w:rPr>
                <w:rFonts w:ascii="Arial" w:hAnsi="Arial" w:cs="Arial"/>
                <w:sz w:val="20"/>
                <w:szCs w:val="20"/>
              </w:rPr>
              <w:t>-</w:t>
            </w:r>
          </w:p>
        </w:tc>
        <w:tc>
          <w:tcPr>
            <w:tcW w:w="1885" w:type="dxa"/>
            <w:shd w:val="clear" w:color="auto" w:fill="FFFFFF"/>
            <w:vAlign w:val="center"/>
          </w:tcPr>
          <w:p w14:paraId="2246E5D8" w14:textId="3B1A08BD" w:rsidR="00D70A9F" w:rsidRPr="002F64A5" w:rsidRDefault="000757EA" w:rsidP="00D70A9F">
            <w:pPr>
              <w:spacing w:after="0"/>
              <w:jc w:val="right"/>
              <w:rPr>
                <w:rFonts w:ascii="Arial" w:hAnsi="Arial" w:cs="Arial"/>
                <w:sz w:val="20"/>
                <w:szCs w:val="20"/>
                <w:highlight w:val="yellow"/>
              </w:rPr>
            </w:pPr>
            <w:r w:rsidRPr="00A228B6">
              <w:rPr>
                <w:rFonts w:ascii="Arial" w:hAnsi="Arial" w:cs="Arial"/>
                <w:sz w:val="20"/>
                <w:szCs w:val="20"/>
              </w:rPr>
              <w:t xml:space="preserve">                        476</w:t>
            </w:r>
          </w:p>
        </w:tc>
      </w:tr>
      <w:tr w:rsidR="006841EA" w:rsidRPr="003234C5" w14:paraId="386564F7" w14:textId="77777777" w:rsidTr="008B68E8">
        <w:trPr>
          <w:trHeight w:val="295"/>
          <w:jc w:val="right"/>
        </w:trPr>
        <w:tc>
          <w:tcPr>
            <w:tcW w:w="5245" w:type="dxa"/>
            <w:shd w:val="clear" w:color="auto" w:fill="FFFFFF"/>
            <w:vAlign w:val="bottom"/>
          </w:tcPr>
          <w:p w14:paraId="4815E0F9" w14:textId="77777777" w:rsidR="006841EA" w:rsidRPr="003234C5" w:rsidRDefault="006841EA" w:rsidP="006841EA">
            <w:pPr>
              <w:spacing w:after="0"/>
              <w:jc w:val="both"/>
              <w:rPr>
                <w:rFonts w:ascii="Arial" w:hAnsi="Arial" w:cs="Arial"/>
                <w:sz w:val="20"/>
                <w:szCs w:val="20"/>
              </w:rPr>
            </w:pPr>
            <w:r w:rsidRPr="003234C5">
              <w:rPr>
                <w:rFonts w:ascii="Arial" w:hAnsi="Arial" w:cs="Arial"/>
                <w:sz w:val="20"/>
                <w:szCs w:val="20"/>
              </w:rPr>
              <w:t>Receita capacidade de transporte</w:t>
            </w:r>
          </w:p>
        </w:tc>
        <w:tc>
          <w:tcPr>
            <w:tcW w:w="1885" w:type="dxa"/>
            <w:shd w:val="clear" w:color="auto" w:fill="FFFFFF"/>
            <w:vAlign w:val="center"/>
          </w:tcPr>
          <w:p w14:paraId="0A648488" w14:textId="3E8432C2" w:rsidR="006841EA" w:rsidRPr="003234C5" w:rsidRDefault="006841EA" w:rsidP="006841EA">
            <w:pPr>
              <w:spacing w:after="0"/>
              <w:jc w:val="right"/>
              <w:rPr>
                <w:rFonts w:ascii="Arial" w:hAnsi="Arial" w:cs="Arial"/>
                <w:sz w:val="20"/>
                <w:szCs w:val="20"/>
              </w:rPr>
            </w:pPr>
            <w:r>
              <w:rPr>
                <w:rFonts w:ascii="Arial" w:hAnsi="Arial" w:cs="Arial"/>
                <w:sz w:val="20"/>
                <w:szCs w:val="20"/>
              </w:rPr>
              <w:t>661</w:t>
            </w:r>
          </w:p>
        </w:tc>
        <w:tc>
          <w:tcPr>
            <w:tcW w:w="1885" w:type="dxa"/>
            <w:shd w:val="clear" w:color="auto" w:fill="FFFFFF"/>
            <w:vAlign w:val="center"/>
          </w:tcPr>
          <w:p w14:paraId="4D3D013D" w14:textId="5523E693" w:rsidR="006841EA" w:rsidRPr="002F64A5" w:rsidRDefault="006841EA" w:rsidP="006841EA">
            <w:pPr>
              <w:spacing w:after="0"/>
              <w:jc w:val="right"/>
              <w:rPr>
                <w:rFonts w:ascii="Arial" w:hAnsi="Arial" w:cs="Arial"/>
                <w:sz w:val="20"/>
                <w:szCs w:val="20"/>
                <w:highlight w:val="yellow"/>
              </w:rPr>
            </w:pPr>
            <w:r w:rsidRPr="00A228B6">
              <w:rPr>
                <w:rFonts w:ascii="Arial" w:hAnsi="Arial" w:cs="Arial"/>
                <w:sz w:val="20"/>
                <w:szCs w:val="20"/>
              </w:rPr>
              <w:t xml:space="preserve">                        759 </w:t>
            </w:r>
          </w:p>
        </w:tc>
      </w:tr>
      <w:tr w:rsidR="00636FE3" w:rsidRPr="003234C5" w14:paraId="5AC5B03A" w14:textId="77777777" w:rsidTr="008B68E8">
        <w:trPr>
          <w:trHeight w:val="295"/>
          <w:jc w:val="right"/>
        </w:trPr>
        <w:tc>
          <w:tcPr>
            <w:tcW w:w="5245" w:type="dxa"/>
            <w:shd w:val="clear" w:color="auto" w:fill="FFFFFF"/>
            <w:vAlign w:val="bottom"/>
          </w:tcPr>
          <w:p w14:paraId="1F01E0BC" w14:textId="2E8EB855" w:rsidR="00636FE3" w:rsidRPr="003234C5" w:rsidRDefault="00636FE3" w:rsidP="00636FE3">
            <w:pPr>
              <w:spacing w:after="0"/>
              <w:jc w:val="both"/>
              <w:rPr>
                <w:rFonts w:ascii="Arial" w:hAnsi="Arial" w:cs="Arial"/>
                <w:sz w:val="20"/>
                <w:szCs w:val="20"/>
              </w:rPr>
            </w:pPr>
            <w:r w:rsidRPr="003234C5">
              <w:rPr>
                <w:rFonts w:ascii="Arial" w:hAnsi="Arial" w:cs="Arial"/>
                <w:sz w:val="20"/>
                <w:szCs w:val="20"/>
              </w:rPr>
              <w:t>Receita variação preço gás</w:t>
            </w:r>
          </w:p>
        </w:tc>
        <w:tc>
          <w:tcPr>
            <w:tcW w:w="1885" w:type="dxa"/>
            <w:shd w:val="clear" w:color="auto" w:fill="FFFFFF"/>
            <w:vAlign w:val="center"/>
          </w:tcPr>
          <w:p w14:paraId="261744A5" w14:textId="2704951A" w:rsidR="00636FE3" w:rsidRPr="003234C5" w:rsidRDefault="00636FE3" w:rsidP="00636FE3">
            <w:pPr>
              <w:spacing w:after="0"/>
              <w:jc w:val="right"/>
              <w:rPr>
                <w:rFonts w:ascii="Arial" w:hAnsi="Arial" w:cs="Arial"/>
                <w:sz w:val="20"/>
                <w:szCs w:val="20"/>
              </w:rPr>
            </w:pPr>
            <w:r>
              <w:rPr>
                <w:rFonts w:ascii="Arial" w:hAnsi="Arial" w:cs="Arial"/>
                <w:sz w:val="20"/>
                <w:szCs w:val="20"/>
              </w:rPr>
              <w:t>11.938</w:t>
            </w:r>
          </w:p>
        </w:tc>
        <w:tc>
          <w:tcPr>
            <w:tcW w:w="1885" w:type="dxa"/>
            <w:shd w:val="clear" w:color="auto" w:fill="FFFFFF"/>
            <w:vAlign w:val="center"/>
          </w:tcPr>
          <w:p w14:paraId="65B13832" w14:textId="57385C89" w:rsidR="00636FE3" w:rsidRPr="002F64A5" w:rsidRDefault="00716A08" w:rsidP="00636FE3">
            <w:pPr>
              <w:spacing w:after="0"/>
              <w:jc w:val="right"/>
              <w:rPr>
                <w:rFonts w:ascii="Arial" w:hAnsi="Arial" w:cs="Arial"/>
                <w:sz w:val="20"/>
                <w:szCs w:val="20"/>
                <w:highlight w:val="yellow"/>
              </w:rPr>
            </w:pPr>
            <w:r>
              <w:rPr>
                <w:rFonts w:ascii="Arial" w:hAnsi="Arial" w:cs="Arial"/>
                <w:sz w:val="20"/>
                <w:szCs w:val="20"/>
              </w:rPr>
              <w:t>5.353</w:t>
            </w:r>
            <w:r w:rsidR="00636FE3" w:rsidRPr="00A228B6">
              <w:rPr>
                <w:rFonts w:ascii="Arial" w:hAnsi="Arial" w:cs="Arial"/>
                <w:sz w:val="20"/>
                <w:szCs w:val="20"/>
              </w:rPr>
              <w:t xml:space="preserve"> </w:t>
            </w:r>
          </w:p>
        </w:tc>
      </w:tr>
      <w:tr w:rsidR="00636FE3" w:rsidRPr="003234C5" w14:paraId="54B5426B" w14:textId="77777777" w:rsidTr="008B68E8">
        <w:trPr>
          <w:trHeight w:val="295"/>
          <w:jc w:val="right"/>
        </w:trPr>
        <w:tc>
          <w:tcPr>
            <w:tcW w:w="5245" w:type="dxa"/>
            <w:shd w:val="clear" w:color="auto" w:fill="FFFFFF"/>
            <w:vAlign w:val="bottom"/>
          </w:tcPr>
          <w:p w14:paraId="790F78FA" w14:textId="512E78ED" w:rsidR="00636FE3" w:rsidRPr="003234C5" w:rsidRDefault="00636FE3" w:rsidP="00636FE3">
            <w:pPr>
              <w:spacing w:after="0"/>
              <w:jc w:val="both"/>
              <w:rPr>
                <w:rFonts w:ascii="Arial" w:hAnsi="Arial" w:cs="Arial"/>
                <w:sz w:val="20"/>
                <w:szCs w:val="20"/>
              </w:rPr>
            </w:pPr>
            <w:r w:rsidRPr="003234C5">
              <w:rPr>
                <w:rFonts w:ascii="Arial" w:hAnsi="Arial" w:cs="Arial"/>
                <w:sz w:val="20"/>
                <w:szCs w:val="20"/>
              </w:rPr>
              <w:t>Reversão provisões contingências cíveis</w:t>
            </w:r>
          </w:p>
        </w:tc>
        <w:tc>
          <w:tcPr>
            <w:tcW w:w="1885" w:type="dxa"/>
            <w:shd w:val="clear" w:color="auto" w:fill="FFFFFF"/>
            <w:vAlign w:val="center"/>
          </w:tcPr>
          <w:p w14:paraId="61A10415" w14:textId="35D9274E" w:rsidR="00636FE3" w:rsidRPr="003234C5" w:rsidRDefault="00636FE3" w:rsidP="00636FE3">
            <w:pPr>
              <w:spacing w:after="0"/>
              <w:jc w:val="right"/>
              <w:rPr>
                <w:rFonts w:ascii="Arial" w:hAnsi="Arial" w:cs="Arial"/>
                <w:sz w:val="20"/>
                <w:szCs w:val="20"/>
              </w:rPr>
            </w:pPr>
            <w:r>
              <w:rPr>
                <w:rFonts w:ascii="Arial" w:hAnsi="Arial" w:cs="Arial"/>
                <w:sz w:val="20"/>
                <w:szCs w:val="20"/>
              </w:rPr>
              <w:t>-</w:t>
            </w:r>
          </w:p>
        </w:tc>
        <w:tc>
          <w:tcPr>
            <w:tcW w:w="1885" w:type="dxa"/>
            <w:shd w:val="clear" w:color="auto" w:fill="FFFFFF"/>
            <w:vAlign w:val="center"/>
          </w:tcPr>
          <w:p w14:paraId="79267DCE" w14:textId="504A3087" w:rsidR="00636FE3" w:rsidRPr="002F64A5" w:rsidRDefault="00C52AF8" w:rsidP="00636FE3">
            <w:pPr>
              <w:spacing w:after="0"/>
              <w:jc w:val="right"/>
              <w:rPr>
                <w:rFonts w:ascii="Arial" w:hAnsi="Arial" w:cs="Arial"/>
                <w:sz w:val="20"/>
                <w:szCs w:val="20"/>
                <w:highlight w:val="yellow"/>
              </w:rPr>
            </w:pPr>
            <w:r w:rsidRPr="00A228B6">
              <w:rPr>
                <w:rFonts w:ascii="Arial" w:hAnsi="Arial" w:cs="Arial"/>
                <w:sz w:val="20"/>
                <w:szCs w:val="20"/>
              </w:rPr>
              <w:t>107</w:t>
            </w:r>
          </w:p>
        </w:tc>
      </w:tr>
      <w:tr w:rsidR="00636FE3" w:rsidRPr="003234C5" w14:paraId="1CEF60D1" w14:textId="77777777" w:rsidTr="008B68E8">
        <w:trPr>
          <w:trHeight w:val="295"/>
          <w:jc w:val="right"/>
        </w:trPr>
        <w:tc>
          <w:tcPr>
            <w:tcW w:w="5245" w:type="dxa"/>
            <w:shd w:val="clear" w:color="auto" w:fill="FFFFFF"/>
            <w:vAlign w:val="bottom"/>
          </w:tcPr>
          <w:p w14:paraId="7EBD2BB9" w14:textId="472DBA9D" w:rsidR="00636FE3" w:rsidRPr="003234C5" w:rsidRDefault="00636FE3" w:rsidP="00636FE3">
            <w:pPr>
              <w:spacing w:after="0"/>
              <w:jc w:val="both"/>
              <w:rPr>
                <w:rFonts w:ascii="Arial" w:hAnsi="Arial" w:cs="Arial"/>
                <w:sz w:val="20"/>
                <w:szCs w:val="20"/>
              </w:rPr>
            </w:pPr>
            <w:r w:rsidRPr="003234C5">
              <w:rPr>
                <w:rFonts w:ascii="Arial" w:hAnsi="Arial" w:cs="Arial"/>
                <w:sz w:val="20"/>
                <w:szCs w:val="20"/>
              </w:rPr>
              <w:t>Reversão provisões contingências trabalhista</w:t>
            </w:r>
          </w:p>
        </w:tc>
        <w:tc>
          <w:tcPr>
            <w:tcW w:w="1885" w:type="dxa"/>
            <w:shd w:val="clear" w:color="auto" w:fill="FFFFFF"/>
            <w:vAlign w:val="center"/>
          </w:tcPr>
          <w:p w14:paraId="3A436034" w14:textId="1BAB587B" w:rsidR="00636FE3" w:rsidRPr="003234C5" w:rsidRDefault="00636FE3" w:rsidP="00636FE3">
            <w:pPr>
              <w:spacing w:after="0"/>
              <w:jc w:val="right"/>
              <w:rPr>
                <w:rFonts w:ascii="Arial" w:hAnsi="Arial" w:cs="Arial"/>
                <w:sz w:val="20"/>
                <w:szCs w:val="20"/>
              </w:rPr>
            </w:pPr>
            <w:r>
              <w:rPr>
                <w:rFonts w:ascii="Arial" w:hAnsi="Arial" w:cs="Arial"/>
                <w:sz w:val="20"/>
                <w:szCs w:val="20"/>
              </w:rPr>
              <w:t>111</w:t>
            </w:r>
          </w:p>
        </w:tc>
        <w:tc>
          <w:tcPr>
            <w:tcW w:w="1885" w:type="dxa"/>
            <w:shd w:val="clear" w:color="auto" w:fill="FFFFFF"/>
            <w:vAlign w:val="center"/>
          </w:tcPr>
          <w:p w14:paraId="45CE7871" w14:textId="1C59691E" w:rsidR="00636FE3" w:rsidRPr="002F64A5" w:rsidRDefault="00D90122" w:rsidP="00636FE3">
            <w:pPr>
              <w:spacing w:after="0"/>
              <w:jc w:val="right"/>
              <w:rPr>
                <w:rFonts w:ascii="Arial" w:hAnsi="Arial" w:cs="Arial"/>
                <w:sz w:val="20"/>
                <w:szCs w:val="20"/>
                <w:highlight w:val="yellow"/>
              </w:rPr>
            </w:pPr>
            <w:r w:rsidRPr="00A228B6">
              <w:rPr>
                <w:rFonts w:ascii="Arial" w:hAnsi="Arial" w:cs="Arial"/>
                <w:sz w:val="20"/>
                <w:szCs w:val="20"/>
              </w:rPr>
              <w:t xml:space="preserve">                         42</w:t>
            </w:r>
          </w:p>
        </w:tc>
      </w:tr>
      <w:tr w:rsidR="00636FE3" w:rsidRPr="003234C5" w14:paraId="7D665461" w14:textId="77777777" w:rsidTr="008B68E8">
        <w:trPr>
          <w:trHeight w:val="295"/>
          <w:jc w:val="right"/>
        </w:trPr>
        <w:tc>
          <w:tcPr>
            <w:tcW w:w="5245" w:type="dxa"/>
            <w:shd w:val="clear" w:color="auto" w:fill="FFFFFF"/>
            <w:vAlign w:val="bottom"/>
          </w:tcPr>
          <w:p w14:paraId="0C61D2B1" w14:textId="77777777" w:rsidR="00636FE3" w:rsidRPr="003234C5" w:rsidRDefault="00636FE3" w:rsidP="00636FE3">
            <w:pPr>
              <w:spacing w:after="0"/>
              <w:jc w:val="both"/>
              <w:rPr>
                <w:rFonts w:ascii="Arial" w:hAnsi="Arial" w:cs="Arial"/>
                <w:sz w:val="20"/>
                <w:szCs w:val="20"/>
              </w:rPr>
            </w:pPr>
            <w:r w:rsidRPr="003234C5">
              <w:rPr>
                <w:rFonts w:ascii="Arial" w:hAnsi="Arial" w:cs="Arial"/>
                <w:sz w:val="20"/>
                <w:szCs w:val="20"/>
              </w:rPr>
              <w:t>Outras receitas operacionais</w:t>
            </w:r>
          </w:p>
        </w:tc>
        <w:tc>
          <w:tcPr>
            <w:tcW w:w="1885" w:type="dxa"/>
            <w:shd w:val="clear" w:color="auto" w:fill="FFFFFF"/>
            <w:vAlign w:val="center"/>
          </w:tcPr>
          <w:p w14:paraId="1FDC7C10" w14:textId="2B213AC5" w:rsidR="00636FE3" w:rsidRPr="003234C5" w:rsidRDefault="00636FE3" w:rsidP="00636FE3">
            <w:pPr>
              <w:spacing w:after="0"/>
              <w:jc w:val="right"/>
              <w:rPr>
                <w:rFonts w:ascii="Arial" w:hAnsi="Arial" w:cs="Arial"/>
                <w:sz w:val="20"/>
                <w:szCs w:val="20"/>
              </w:rPr>
            </w:pPr>
            <w:r>
              <w:rPr>
                <w:rFonts w:ascii="Arial" w:hAnsi="Arial" w:cs="Arial"/>
                <w:sz w:val="20"/>
                <w:szCs w:val="20"/>
              </w:rPr>
              <w:t>12.877</w:t>
            </w:r>
          </w:p>
        </w:tc>
        <w:tc>
          <w:tcPr>
            <w:tcW w:w="1885" w:type="dxa"/>
            <w:shd w:val="clear" w:color="auto" w:fill="FFFFFF"/>
            <w:vAlign w:val="center"/>
          </w:tcPr>
          <w:p w14:paraId="68902849" w14:textId="0B29CB70" w:rsidR="00636FE3" w:rsidRPr="002F64A5" w:rsidRDefault="003F50FC" w:rsidP="00636FE3">
            <w:pPr>
              <w:spacing w:after="0"/>
              <w:jc w:val="right"/>
              <w:rPr>
                <w:rFonts w:ascii="Arial" w:hAnsi="Arial" w:cs="Arial"/>
                <w:sz w:val="20"/>
                <w:szCs w:val="20"/>
                <w:highlight w:val="yellow"/>
              </w:rPr>
            </w:pPr>
            <w:r w:rsidRPr="00A228B6">
              <w:rPr>
                <w:rFonts w:ascii="Arial" w:hAnsi="Arial" w:cs="Arial"/>
                <w:sz w:val="20"/>
                <w:szCs w:val="20"/>
              </w:rPr>
              <w:t xml:space="preserve">                     1.20</w:t>
            </w:r>
            <w:r>
              <w:rPr>
                <w:rFonts w:ascii="Arial" w:hAnsi="Arial" w:cs="Arial"/>
                <w:sz w:val="20"/>
                <w:szCs w:val="20"/>
              </w:rPr>
              <w:t>1</w:t>
            </w:r>
          </w:p>
        </w:tc>
      </w:tr>
      <w:tr w:rsidR="00636FE3" w:rsidRPr="003234C5" w14:paraId="66BDB0A9" w14:textId="77777777" w:rsidTr="008B68E8">
        <w:trPr>
          <w:trHeight w:val="295"/>
          <w:jc w:val="right"/>
        </w:trPr>
        <w:tc>
          <w:tcPr>
            <w:tcW w:w="5245" w:type="dxa"/>
            <w:shd w:val="clear" w:color="auto" w:fill="FFFFFF"/>
            <w:vAlign w:val="bottom"/>
          </w:tcPr>
          <w:p w14:paraId="59C0019A" w14:textId="47AF9755" w:rsidR="00636FE3" w:rsidRPr="003234C5" w:rsidRDefault="00636FE3" w:rsidP="00636FE3">
            <w:pPr>
              <w:spacing w:after="0"/>
              <w:jc w:val="both"/>
              <w:rPr>
                <w:rFonts w:ascii="Arial" w:hAnsi="Arial" w:cs="Arial"/>
                <w:b/>
                <w:sz w:val="20"/>
                <w:szCs w:val="20"/>
              </w:rPr>
            </w:pPr>
            <w:r w:rsidRPr="003234C5">
              <w:rPr>
                <w:rFonts w:ascii="Arial" w:hAnsi="Arial" w:cs="Arial"/>
                <w:b/>
                <w:sz w:val="20"/>
                <w:szCs w:val="20"/>
              </w:rPr>
              <w:t>Total de Outras Receitas Operacionais (total</w:t>
            </w:r>
            <w:r w:rsidR="00DF22F0">
              <w:rPr>
                <w:rFonts w:ascii="Arial" w:hAnsi="Arial" w:cs="Arial"/>
                <w:b/>
                <w:sz w:val="20"/>
                <w:szCs w:val="20"/>
              </w:rPr>
              <w:t xml:space="preserve"> A</w:t>
            </w:r>
            <w:r w:rsidRPr="003234C5">
              <w:rPr>
                <w:rFonts w:ascii="Arial" w:hAnsi="Arial" w:cs="Arial"/>
                <w:b/>
                <w:sz w:val="20"/>
                <w:szCs w:val="20"/>
              </w:rPr>
              <w:t>)</w:t>
            </w:r>
          </w:p>
        </w:tc>
        <w:tc>
          <w:tcPr>
            <w:tcW w:w="1885" w:type="dxa"/>
            <w:shd w:val="clear" w:color="auto" w:fill="FFFFFF"/>
            <w:vAlign w:val="center"/>
          </w:tcPr>
          <w:p w14:paraId="360A4E3B" w14:textId="1238299A" w:rsidR="00636FE3" w:rsidRPr="003234C5" w:rsidRDefault="00636FE3" w:rsidP="00636FE3">
            <w:pPr>
              <w:spacing w:after="0"/>
              <w:jc w:val="right"/>
              <w:rPr>
                <w:rFonts w:ascii="Arial" w:hAnsi="Arial" w:cs="Arial"/>
                <w:b/>
                <w:sz w:val="20"/>
                <w:szCs w:val="20"/>
              </w:rPr>
            </w:pPr>
            <w:r>
              <w:rPr>
                <w:rFonts w:ascii="Arial" w:hAnsi="Arial" w:cs="Arial"/>
                <w:b/>
                <w:sz w:val="20"/>
                <w:szCs w:val="20"/>
              </w:rPr>
              <w:t>83.354</w:t>
            </w:r>
          </w:p>
        </w:tc>
        <w:tc>
          <w:tcPr>
            <w:tcW w:w="1885" w:type="dxa"/>
            <w:shd w:val="clear" w:color="auto" w:fill="FFFFFF"/>
            <w:vAlign w:val="center"/>
          </w:tcPr>
          <w:p w14:paraId="44680CBE" w14:textId="437D7B9F" w:rsidR="00636FE3" w:rsidRPr="002F64A5" w:rsidRDefault="00611699" w:rsidP="00636FE3">
            <w:pPr>
              <w:spacing w:after="0"/>
              <w:jc w:val="right"/>
              <w:rPr>
                <w:rFonts w:ascii="Arial" w:hAnsi="Arial" w:cs="Arial"/>
                <w:b/>
                <w:sz w:val="20"/>
                <w:szCs w:val="20"/>
                <w:highlight w:val="yellow"/>
              </w:rPr>
            </w:pPr>
            <w:r w:rsidRPr="00A228B6">
              <w:rPr>
                <w:rFonts w:ascii="Arial" w:hAnsi="Arial" w:cs="Arial"/>
                <w:b/>
                <w:bCs/>
                <w:color w:val="000000"/>
                <w:sz w:val="20"/>
                <w:szCs w:val="20"/>
              </w:rPr>
              <w:t xml:space="preserve">                   16.70</w:t>
            </w:r>
            <w:r>
              <w:rPr>
                <w:rFonts w:ascii="Arial" w:hAnsi="Arial" w:cs="Arial"/>
                <w:b/>
                <w:bCs/>
                <w:color w:val="000000"/>
                <w:sz w:val="20"/>
                <w:szCs w:val="20"/>
              </w:rPr>
              <w:t>7</w:t>
            </w:r>
          </w:p>
        </w:tc>
      </w:tr>
    </w:tbl>
    <w:p w14:paraId="5086ABE6" w14:textId="24690479" w:rsidR="001F76E5" w:rsidRDefault="00BE6224" w:rsidP="008C71D1">
      <w:pPr>
        <w:jc w:val="both"/>
        <w:rPr>
          <w:rFonts w:ascii="Arial" w:hAnsi="Arial" w:cs="Arial"/>
        </w:rPr>
      </w:pPr>
      <w:r w:rsidRPr="008C71D1">
        <w:rPr>
          <w:rFonts w:ascii="Arial" w:hAnsi="Arial" w:cs="Arial"/>
        </w:rPr>
        <w:t xml:space="preserve">O aumento </w:t>
      </w:r>
      <w:r w:rsidR="008E7878">
        <w:rPr>
          <w:rFonts w:ascii="Arial" w:hAnsi="Arial" w:cs="Arial"/>
        </w:rPr>
        <w:t xml:space="preserve">relevante nas Outras Receitas Operacionais decorreu </w:t>
      </w:r>
      <w:r w:rsidR="005823EC">
        <w:rPr>
          <w:rFonts w:ascii="Arial" w:hAnsi="Arial" w:cs="Arial"/>
        </w:rPr>
        <w:t xml:space="preserve">da Operação de TAKE OR PAY com a Térmico. O contrato assinado com a CGTF prevê que a mesma só poderá recuperar o TAKE OR PAY até o último mês do sétimo ano seguinte ao da apuração paga e não retirada de determinado ano. Assim, os valores registrados no passivo como débito nas operações de gás que decorreram de exercício até 2012 foram considerados receita, uma vez que a CGTF não tem mais o direito de recuperá-los. </w:t>
      </w:r>
    </w:p>
    <w:p w14:paraId="3E0290B5" w14:textId="57B83D00" w:rsidR="001F76E5" w:rsidRPr="008C71D1" w:rsidRDefault="001F76E5" w:rsidP="008C71D1">
      <w:pPr>
        <w:jc w:val="both"/>
        <w:rPr>
          <w:rFonts w:ascii="Arial" w:hAnsi="Arial" w:cs="Arial"/>
        </w:rPr>
      </w:pPr>
      <w:r w:rsidRPr="008C71D1">
        <w:rPr>
          <w:rFonts w:ascii="Arial" w:hAnsi="Arial" w:cs="Arial"/>
        </w:rPr>
        <w:t>Pode-se observar um aumento relevante na Penalidade de transporte de gás térmico (</w:t>
      </w:r>
      <w:proofErr w:type="spellStart"/>
      <w:r w:rsidRPr="008C71D1">
        <w:rPr>
          <w:rFonts w:ascii="Arial" w:hAnsi="Arial" w:cs="Arial"/>
        </w:rPr>
        <w:t>Ship</w:t>
      </w:r>
      <w:proofErr w:type="spellEnd"/>
      <w:r w:rsidRPr="008C71D1">
        <w:rPr>
          <w:rFonts w:ascii="Arial" w:hAnsi="Arial" w:cs="Arial"/>
        </w:rPr>
        <w:t xml:space="preserve"> </w:t>
      </w:r>
      <w:proofErr w:type="spellStart"/>
      <w:r w:rsidRPr="008C71D1">
        <w:rPr>
          <w:rFonts w:ascii="Arial" w:hAnsi="Arial" w:cs="Arial"/>
        </w:rPr>
        <w:t>or</w:t>
      </w:r>
      <w:proofErr w:type="spellEnd"/>
      <w:r w:rsidRPr="008C71D1">
        <w:rPr>
          <w:rFonts w:ascii="Arial" w:hAnsi="Arial" w:cs="Arial"/>
        </w:rPr>
        <w:t xml:space="preserve"> </w:t>
      </w:r>
      <w:proofErr w:type="spellStart"/>
      <w:r w:rsidRPr="008C71D1">
        <w:rPr>
          <w:rFonts w:ascii="Arial" w:hAnsi="Arial" w:cs="Arial"/>
        </w:rPr>
        <w:t>pay</w:t>
      </w:r>
      <w:proofErr w:type="spellEnd"/>
      <w:r w:rsidRPr="008C71D1">
        <w:rPr>
          <w:rFonts w:ascii="Arial" w:hAnsi="Arial" w:cs="Arial"/>
        </w:rPr>
        <w:t xml:space="preserve">) em relação a 2018, uma vez que tal valor decorre de operações com a CGTF e, no ano anterior, a Termelétrica foi paralisada. </w:t>
      </w:r>
    </w:p>
    <w:p w14:paraId="6054AD23" w14:textId="63EFB0DA" w:rsidR="00D33D59" w:rsidRDefault="001F76E5" w:rsidP="008C71D1">
      <w:pPr>
        <w:jc w:val="both"/>
      </w:pPr>
      <w:r w:rsidRPr="008C71D1">
        <w:rPr>
          <w:rFonts w:ascii="Arial" w:hAnsi="Arial" w:cs="Arial"/>
        </w:rPr>
        <w:t>Esta redução ocorreu porque a Petrobras, supridora de gás natural, aplicou a cláusula de resilição do contrato de suprimento à CEGÁS e de fornecimento à Central Geradora Termelétrica Fortaleza – CGTF (</w:t>
      </w:r>
      <w:proofErr w:type="spellStart"/>
      <w:r w:rsidRPr="008C71D1">
        <w:rPr>
          <w:rFonts w:ascii="Arial" w:hAnsi="Arial" w:cs="Arial"/>
        </w:rPr>
        <w:t>Termofortaleza</w:t>
      </w:r>
      <w:proofErr w:type="spellEnd"/>
      <w:r w:rsidRPr="008C71D1">
        <w:rPr>
          <w:rFonts w:ascii="Arial" w:hAnsi="Arial" w:cs="Arial"/>
        </w:rPr>
        <w:t xml:space="preserve">), resultando na paralisação da operação da Termelétrica. O suprimento à CGTF </w:t>
      </w:r>
      <w:r w:rsidR="004042C7">
        <w:rPr>
          <w:rFonts w:ascii="Arial" w:hAnsi="Arial" w:cs="Arial"/>
        </w:rPr>
        <w:t xml:space="preserve">retornou </w:t>
      </w:r>
      <w:r w:rsidR="00AB46FC">
        <w:rPr>
          <w:rFonts w:ascii="Arial" w:hAnsi="Arial" w:cs="Arial"/>
        </w:rPr>
        <w:t>em 2019.</w:t>
      </w:r>
    </w:p>
    <w:tbl>
      <w:tblPr>
        <w:tblW w:w="901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1885"/>
        <w:gridCol w:w="1885"/>
      </w:tblGrid>
      <w:tr w:rsidR="00636FE3" w:rsidRPr="003234C5" w14:paraId="20C69A91" w14:textId="77777777" w:rsidTr="00DF22F0">
        <w:trPr>
          <w:trHeight w:val="295"/>
          <w:jc w:val="right"/>
        </w:trPr>
        <w:tc>
          <w:tcPr>
            <w:tcW w:w="5245" w:type="dxa"/>
            <w:shd w:val="clear" w:color="auto" w:fill="BFBFBF" w:themeFill="background1" w:themeFillShade="BF"/>
            <w:vAlign w:val="center"/>
          </w:tcPr>
          <w:p w14:paraId="1A35C51F" w14:textId="1FE4FE09" w:rsidR="00636FE3" w:rsidRPr="003234C5" w:rsidRDefault="00636FE3" w:rsidP="00636FE3">
            <w:pPr>
              <w:spacing w:after="0"/>
              <w:jc w:val="both"/>
              <w:rPr>
                <w:rFonts w:ascii="Arial" w:hAnsi="Arial" w:cs="Arial"/>
                <w:sz w:val="20"/>
                <w:szCs w:val="20"/>
              </w:rPr>
            </w:pPr>
            <w:r w:rsidRPr="003234C5">
              <w:rPr>
                <w:rFonts w:ascii="Arial" w:hAnsi="Arial" w:cs="Arial"/>
                <w:b/>
                <w:sz w:val="20"/>
                <w:szCs w:val="20"/>
              </w:rPr>
              <w:t>DESCRIÇÃO – DESPESAS (B)</w:t>
            </w:r>
          </w:p>
        </w:tc>
        <w:tc>
          <w:tcPr>
            <w:tcW w:w="1885" w:type="dxa"/>
            <w:shd w:val="clear" w:color="auto" w:fill="BFBFBF" w:themeFill="background1" w:themeFillShade="BF"/>
            <w:vAlign w:val="bottom"/>
          </w:tcPr>
          <w:p w14:paraId="1BD7E4F2" w14:textId="51645543" w:rsidR="00636FE3" w:rsidRPr="003234C5" w:rsidRDefault="00636FE3" w:rsidP="00636FE3">
            <w:pPr>
              <w:spacing w:after="0"/>
              <w:jc w:val="right"/>
              <w:rPr>
                <w:rFonts w:ascii="Arial" w:hAnsi="Arial" w:cs="Arial"/>
                <w:b/>
                <w:sz w:val="20"/>
                <w:szCs w:val="20"/>
              </w:rPr>
            </w:pPr>
            <w:r>
              <w:rPr>
                <w:rFonts w:ascii="Arial" w:hAnsi="Arial" w:cs="Arial"/>
                <w:b/>
                <w:bCs/>
                <w:color w:val="000000"/>
                <w:sz w:val="20"/>
                <w:szCs w:val="20"/>
              </w:rPr>
              <w:t>2019</w:t>
            </w:r>
          </w:p>
        </w:tc>
        <w:tc>
          <w:tcPr>
            <w:tcW w:w="1885" w:type="dxa"/>
            <w:shd w:val="clear" w:color="auto" w:fill="BFBFBF" w:themeFill="background1" w:themeFillShade="BF"/>
            <w:vAlign w:val="bottom"/>
          </w:tcPr>
          <w:p w14:paraId="4476E89D" w14:textId="7C7D98BF" w:rsidR="00636FE3" w:rsidRPr="002F64A5" w:rsidRDefault="00272EF5" w:rsidP="00636FE3">
            <w:pPr>
              <w:spacing w:after="0"/>
              <w:jc w:val="right"/>
              <w:rPr>
                <w:rFonts w:ascii="Arial" w:hAnsi="Arial" w:cs="Arial"/>
                <w:sz w:val="20"/>
                <w:szCs w:val="20"/>
                <w:highlight w:val="yellow"/>
              </w:rPr>
            </w:pPr>
            <w:r w:rsidRPr="00A228B6">
              <w:rPr>
                <w:rFonts w:ascii="Arial" w:hAnsi="Arial" w:cs="Arial"/>
                <w:b/>
                <w:sz w:val="20"/>
                <w:szCs w:val="20"/>
              </w:rPr>
              <w:t>2018</w:t>
            </w:r>
          </w:p>
        </w:tc>
      </w:tr>
      <w:tr w:rsidR="008638E8" w:rsidRPr="003234C5" w14:paraId="73BF2CFA" w14:textId="77777777" w:rsidTr="008B68E8">
        <w:trPr>
          <w:trHeight w:val="295"/>
          <w:jc w:val="right"/>
        </w:trPr>
        <w:tc>
          <w:tcPr>
            <w:tcW w:w="5245" w:type="dxa"/>
            <w:shd w:val="clear" w:color="auto" w:fill="FFFFFF"/>
            <w:vAlign w:val="bottom"/>
          </w:tcPr>
          <w:p w14:paraId="162F22DB" w14:textId="500D7127" w:rsidR="008638E8" w:rsidRPr="003234C5" w:rsidRDefault="008638E8" w:rsidP="008638E8">
            <w:pPr>
              <w:spacing w:after="0"/>
              <w:jc w:val="both"/>
              <w:rPr>
                <w:rFonts w:ascii="Arial" w:hAnsi="Arial" w:cs="Arial"/>
                <w:sz w:val="20"/>
                <w:szCs w:val="20"/>
              </w:rPr>
            </w:pPr>
            <w:r w:rsidRPr="003234C5">
              <w:rPr>
                <w:rFonts w:ascii="Arial" w:hAnsi="Arial" w:cs="Arial"/>
                <w:sz w:val="20"/>
                <w:szCs w:val="20"/>
              </w:rPr>
              <w:t>Penalidade de retirada a maior e a menor</w:t>
            </w:r>
          </w:p>
        </w:tc>
        <w:tc>
          <w:tcPr>
            <w:tcW w:w="1885" w:type="dxa"/>
            <w:shd w:val="clear" w:color="auto" w:fill="FFFFFF"/>
            <w:vAlign w:val="center"/>
          </w:tcPr>
          <w:p w14:paraId="2958EEC5" w14:textId="61F6F81F" w:rsidR="008638E8" w:rsidRPr="003234C5" w:rsidRDefault="008638E8" w:rsidP="008638E8">
            <w:pPr>
              <w:spacing w:after="0"/>
              <w:jc w:val="right"/>
              <w:rPr>
                <w:rFonts w:ascii="Arial" w:hAnsi="Arial" w:cs="Arial"/>
                <w:sz w:val="20"/>
                <w:szCs w:val="20"/>
              </w:rPr>
            </w:pPr>
            <w:r>
              <w:rPr>
                <w:rFonts w:ascii="Arial" w:hAnsi="Arial" w:cs="Arial"/>
                <w:sz w:val="20"/>
                <w:szCs w:val="20"/>
              </w:rPr>
              <w:t>(1.472)</w:t>
            </w:r>
          </w:p>
        </w:tc>
        <w:tc>
          <w:tcPr>
            <w:tcW w:w="1885" w:type="dxa"/>
            <w:shd w:val="clear" w:color="auto" w:fill="FFFFFF"/>
            <w:vAlign w:val="center"/>
          </w:tcPr>
          <w:p w14:paraId="53CCD2C8" w14:textId="7E6F2E83" w:rsidR="008638E8" w:rsidRPr="002F64A5" w:rsidRDefault="008638E8" w:rsidP="008638E8">
            <w:pPr>
              <w:spacing w:after="0"/>
              <w:jc w:val="right"/>
              <w:rPr>
                <w:rFonts w:ascii="Arial" w:hAnsi="Arial" w:cs="Arial"/>
                <w:sz w:val="20"/>
                <w:szCs w:val="20"/>
                <w:highlight w:val="yellow"/>
              </w:rPr>
            </w:pPr>
            <w:r w:rsidRPr="00A228B6">
              <w:rPr>
                <w:rFonts w:ascii="Arial" w:hAnsi="Arial" w:cs="Arial"/>
                <w:sz w:val="20"/>
                <w:szCs w:val="20"/>
              </w:rPr>
              <w:t>(1.691)</w:t>
            </w:r>
          </w:p>
        </w:tc>
      </w:tr>
      <w:tr w:rsidR="008638E8" w:rsidRPr="003234C5" w14:paraId="49F79457" w14:textId="77777777" w:rsidTr="008B68E8">
        <w:trPr>
          <w:trHeight w:val="295"/>
          <w:jc w:val="right"/>
        </w:trPr>
        <w:tc>
          <w:tcPr>
            <w:tcW w:w="5245" w:type="dxa"/>
            <w:shd w:val="clear" w:color="auto" w:fill="FFFFFF"/>
            <w:vAlign w:val="bottom"/>
          </w:tcPr>
          <w:p w14:paraId="082D695C" w14:textId="2EBAD4D0" w:rsidR="008638E8" w:rsidRPr="003234C5" w:rsidRDefault="008638E8" w:rsidP="008638E8">
            <w:pPr>
              <w:spacing w:after="0"/>
              <w:jc w:val="both"/>
              <w:rPr>
                <w:rFonts w:ascii="Arial" w:hAnsi="Arial" w:cs="Arial"/>
                <w:sz w:val="20"/>
                <w:szCs w:val="20"/>
              </w:rPr>
            </w:pPr>
            <w:r w:rsidRPr="003234C5">
              <w:rPr>
                <w:rFonts w:ascii="Arial" w:hAnsi="Arial" w:cs="Arial"/>
                <w:sz w:val="20"/>
                <w:szCs w:val="20"/>
              </w:rPr>
              <w:t xml:space="preserve">Penalidade de transporte de gás térmico </w:t>
            </w:r>
            <w:r w:rsidRPr="003234C5">
              <w:rPr>
                <w:rFonts w:ascii="Arial" w:hAnsi="Arial" w:cs="Arial"/>
                <w:i/>
                <w:sz w:val="20"/>
                <w:szCs w:val="20"/>
              </w:rPr>
              <w:t>(</w:t>
            </w:r>
            <w:proofErr w:type="spellStart"/>
            <w:r w:rsidRPr="003234C5">
              <w:rPr>
                <w:rFonts w:ascii="Arial" w:hAnsi="Arial" w:cs="Arial"/>
                <w:i/>
                <w:sz w:val="20"/>
                <w:szCs w:val="20"/>
              </w:rPr>
              <w:t>Ship</w:t>
            </w:r>
            <w:proofErr w:type="spellEnd"/>
            <w:r w:rsidRPr="003234C5">
              <w:rPr>
                <w:rFonts w:ascii="Arial" w:hAnsi="Arial" w:cs="Arial"/>
                <w:i/>
                <w:sz w:val="20"/>
                <w:szCs w:val="20"/>
              </w:rPr>
              <w:t xml:space="preserve"> </w:t>
            </w:r>
            <w:proofErr w:type="spellStart"/>
            <w:r w:rsidRPr="003234C5">
              <w:rPr>
                <w:rFonts w:ascii="Arial" w:hAnsi="Arial" w:cs="Arial"/>
                <w:i/>
                <w:sz w:val="20"/>
                <w:szCs w:val="20"/>
              </w:rPr>
              <w:t>or</w:t>
            </w:r>
            <w:proofErr w:type="spellEnd"/>
            <w:r w:rsidRPr="003234C5">
              <w:rPr>
                <w:rFonts w:ascii="Arial" w:hAnsi="Arial" w:cs="Arial"/>
                <w:i/>
                <w:sz w:val="20"/>
                <w:szCs w:val="20"/>
              </w:rPr>
              <w:t xml:space="preserve"> </w:t>
            </w:r>
            <w:proofErr w:type="spellStart"/>
            <w:r w:rsidRPr="003234C5">
              <w:rPr>
                <w:rFonts w:ascii="Arial" w:hAnsi="Arial" w:cs="Arial"/>
                <w:i/>
                <w:sz w:val="20"/>
                <w:szCs w:val="20"/>
              </w:rPr>
              <w:t>pay</w:t>
            </w:r>
            <w:proofErr w:type="spellEnd"/>
            <w:r w:rsidRPr="003234C5">
              <w:rPr>
                <w:rFonts w:ascii="Arial" w:hAnsi="Arial" w:cs="Arial"/>
                <w:i/>
                <w:sz w:val="20"/>
                <w:szCs w:val="20"/>
              </w:rPr>
              <w:t>)</w:t>
            </w:r>
          </w:p>
        </w:tc>
        <w:tc>
          <w:tcPr>
            <w:tcW w:w="1885" w:type="dxa"/>
            <w:shd w:val="clear" w:color="auto" w:fill="FFFFFF"/>
            <w:vAlign w:val="center"/>
          </w:tcPr>
          <w:p w14:paraId="512FAFAF" w14:textId="565CB788" w:rsidR="008638E8" w:rsidRPr="003234C5" w:rsidRDefault="008638E8" w:rsidP="008638E8">
            <w:pPr>
              <w:spacing w:after="0"/>
              <w:jc w:val="right"/>
              <w:rPr>
                <w:rFonts w:ascii="Arial" w:hAnsi="Arial" w:cs="Arial"/>
                <w:sz w:val="20"/>
                <w:szCs w:val="20"/>
              </w:rPr>
            </w:pPr>
            <w:r>
              <w:rPr>
                <w:rFonts w:ascii="Arial" w:hAnsi="Arial" w:cs="Arial"/>
                <w:sz w:val="20"/>
                <w:szCs w:val="20"/>
              </w:rPr>
              <w:t>(62.072)</w:t>
            </w:r>
          </w:p>
        </w:tc>
        <w:tc>
          <w:tcPr>
            <w:tcW w:w="1885" w:type="dxa"/>
            <w:shd w:val="clear" w:color="auto" w:fill="FFFFFF"/>
            <w:vAlign w:val="center"/>
          </w:tcPr>
          <w:p w14:paraId="2D73AE6F" w14:textId="29DB556E" w:rsidR="008638E8" w:rsidRPr="002F64A5" w:rsidRDefault="00233D78" w:rsidP="008638E8">
            <w:pPr>
              <w:spacing w:after="0"/>
              <w:jc w:val="right"/>
              <w:rPr>
                <w:rFonts w:ascii="Arial" w:hAnsi="Arial" w:cs="Arial"/>
                <w:sz w:val="20"/>
                <w:szCs w:val="20"/>
                <w:highlight w:val="yellow"/>
              </w:rPr>
            </w:pPr>
            <w:r w:rsidRPr="00A228B6">
              <w:rPr>
                <w:rFonts w:ascii="Arial" w:hAnsi="Arial" w:cs="Arial"/>
                <w:sz w:val="20"/>
                <w:szCs w:val="20"/>
              </w:rPr>
              <w:t>(5.136)</w:t>
            </w:r>
          </w:p>
        </w:tc>
      </w:tr>
      <w:tr w:rsidR="008638E8" w:rsidRPr="003234C5" w14:paraId="4DB2CCEF" w14:textId="77777777" w:rsidTr="008B68E8">
        <w:trPr>
          <w:trHeight w:val="295"/>
          <w:jc w:val="right"/>
        </w:trPr>
        <w:tc>
          <w:tcPr>
            <w:tcW w:w="5245" w:type="dxa"/>
            <w:shd w:val="clear" w:color="auto" w:fill="FFFFFF"/>
            <w:vAlign w:val="bottom"/>
          </w:tcPr>
          <w:p w14:paraId="0EAB3CDE" w14:textId="0A330694" w:rsidR="008638E8" w:rsidRPr="003234C5" w:rsidRDefault="008638E8" w:rsidP="008638E8">
            <w:pPr>
              <w:spacing w:after="0"/>
              <w:jc w:val="both"/>
              <w:rPr>
                <w:rFonts w:ascii="Arial" w:hAnsi="Arial" w:cs="Arial"/>
                <w:sz w:val="20"/>
                <w:szCs w:val="20"/>
              </w:rPr>
            </w:pPr>
            <w:r>
              <w:rPr>
                <w:rFonts w:ascii="Arial" w:hAnsi="Arial" w:cs="Arial"/>
                <w:sz w:val="20"/>
                <w:szCs w:val="20"/>
              </w:rPr>
              <w:t xml:space="preserve">Despesa </w:t>
            </w:r>
            <w:proofErr w:type="spellStart"/>
            <w:r>
              <w:rPr>
                <w:rFonts w:ascii="Arial" w:hAnsi="Arial" w:cs="Arial"/>
                <w:sz w:val="20"/>
                <w:szCs w:val="20"/>
              </w:rPr>
              <w:t>vairação</w:t>
            </w:r>
            <w:proofErr w:type="spellEnd"/>
            <w:r>
              <w:rPr>
                <w:rFonts w:ascii="Arial" w:hAnsi="Arial" w:cs="Arial"/>
                <w:sz w:val="20"/>
                <w:szCs w:val="20"/>
              </w:rPr>
              <w:t xml:space="preserve"> preço do Gás </w:t>
            </w:r>
          </w:p>
        </w:tc>
        <w:tc>
          <w:tcPr>
            <w:tcW w:w="1885" w:type="dxa"/>
            <w:shd w:val="clear" w:color="auto" w:fill="FFFFFF"/>
            <w:vAlign w:val="center"/>
          </w:tcPr>
          <w:p w14:paraId="5A4ABCA1" w14:textId="7C3957E9" w:rsidR="008638E8" w:rsidRPr="003234C5" w:rsidRDefault="008638E8" w:rsidP="008638E8">
            <w:pPr>
              <w:spacing w:after="0"/>
              <w:jc w:val="right"/>
              <w:rPr>
                <w:rFonts w:ascii="Arial" w:hAnsi="Arial" w:cs="Arial"/>
                <w:sz w:val="20"/>
                <w:szCs w:val="20"/>
              </w:rPr>
            </w:pPr>
            <w:r>
              <w:rPr>
                <w:rFonts w:ascii="Arial" w:hAnsi="Arial" w:cs="Arial"/>
                <w:sz w:val="20"/>
                <w:szCs w:val="20"/>
              </w:rPr>
              <w:t>(11.869)</w:t>
            </w:r>
          </w:p>
        </w:tc>
        <w:tc>
          <w:tcPr>
            <w:tcW w:w="1885" w:type="dxa"/>
            <w:shd w:val="clear" w:color="auto" w:fill="FFFFFF"/>
            <w:vAlign w:val="center"/>
          </w:tcPr>
          <w:p w14:paraId="00335E3C" w14:textId="04F3188C" w:rsidR="008638E8" w:rsidRPr="002F64A5" w:rsidRDefault="004529D6" w:rsidP="008638E8">
            <w:pPr>
              <w:spacing w:after="0"/>
              <w:jc w:val="right"/>
              <w:rPr>
                <w:rFonts w:ascii="Arial" w:hAnsi="Arial" w:cs="Arial"/>
                <w:sz w:val="20"/>
                <w:szCs w:val="20"/>
                <w:highlight w:val="yellow"/>
              </w:rPr>
            </w:pPr>
            <w:r w:rsidRPr="00A228B6">
              <w:rPr>
                <w:rFonts w:ascii="Arial" w:hAnsi="Arial" w:cs="Arial"/>
                <w:sz w:val="20"/>
                <w:szCs w:val="20"/>
              </w:rPr>
              <w:t>(2.956)</w:t>
            </w:r>
          </w:p>
        </w:tc>
      </w:tr>
      <w:tr w:rsidR="008638E8" w:rsidRPr="003234C5" w14:paraId="1A9E4D82" w14:textId="77777777" w:rsidTr="008B68E8">
        <w:trPr>
          <w:trHeight w:val="295"/>
          <w:jc w:val="right"/>
        </w:trPr>
        <w:tc>
          <w:tcPr>
            <w:tcW w:w="5245" w:type="dxa"/>
            <w:shd w:val="clear" w:color="auto" w:fill="FFFFFF"/>
            <w:vAlign w:val="bottom"/>
          </w:tcPr>
          <w:p w14:paraId="7212B932" w14:textId="77777777" w:rsidR="008638E8" w:rsidRPr="003234C5" w:rsidRDefault="008638E8" w:rsidP="008638E8">
            <w:pPr>
              <w:spacing w:after="0"/>
              <w:jc w:val="both"/>
              <w:rPr>
                <w:rFonts w:ascii="Arial" w:hAnsi="Arial" w:cs="Arial"/>
                <w:sz w:val="20"/>
                <w:szCs w:val="20"/>
              </w:rPr>
            </w:pPr>
            <w:r w:rsidRPr="003234C5">
              <w:rPr>
                <w:rFonts w:ascii="Arial" w:hAnsi="Arial" w:cs="Arial"/>
                <w:sz w:val="20"/>
                <w:szCs w:val="20"/>
              </w:rPr>
              <w:t>Provisão créditos liquidação duvidosa</w:t>
            </w:r>
          </w:p>
        </w:tc>
        <w:tc>
          <w:tcPr>
            <w:tcW w:w="1885" w:type="dxa"/>
            <w:shd w:val="clear" w:color="auto" w:fill="FFFFFF"/>
            <w:vAlign w:val="center"/>
          </w:tcPr>
          <w:p w14:paraId="5357B0BE" w14:textId="330259BC" w:rsidR="008638E8" w:rsidRPr="003234C5" w:rsidRDefault="008638E8" w:rsidP="008638E8">
            <w:pPr>
              <w:spacing w:after="0"/>
              <w:jc w:val="right"/>
              <w:rPr>
                <w:rFonts w:ascii="Arial" w:hAnsi="Arial" w:cs="Arial"/>
                <w:sz w:val="20"/>
                <w:szCs w:val="20"/>
              </w:rPr>
            </w:pPr>
            <w:r>
              <w:rPr>
                <w:rFonts w:ascii="Arial" w:hAnsi="Arial" w:cs="Arial"/>
                <w:sz w:val="20"/>
                <w:szCs w:val="20"/>
              </w:rPr>
              <w:t>(165)</w:t>
            </w:r>
          </w:p>
        </w:tc>
        <w:tc>
          <w:tcPr>
            <w:tcW w:w="1885" w:type="dxa"/>
            <w:shd w:val="clear" w:color="auto" w:fill="FFFFFF"/>
            <w:vAlign w:val="center"/>
          </w:tcPr>
          <w:p w14:paraId="66245358" w14:textId="65E6137C" w:rsidR="008638E8" w:rsidRPr="002F64A5" w:rsidRDefault="007907D3" w:rsidP="008638E8">
            <w:pPr>
              <w:spacing w:after="0"/>
              <w:jc w:val="right"/>
              <w:rPr>
                <w:rFonts w:ascii="Arial" w:hAnsi="Arial" w:cs="Arial"/>
                <w:sz w:val="20"/>
                <w:szCs w:val="20"/>
                <w:highlight w:val="yellow"/>
              </w:rPr>
            </w:pPr>
            <w:r w:rsidRPr="00A228B6">
              <w:rPr>
                <w:rFonts w:ascii="Arial" w:hAnsi="Arial" w:cs="Arial"/>
                <w:sz w:val="20"/>
                <w:szCs w:val="20"/>
              </w:rPr>
              <w:t>(116)</w:t>
            </w:r>
          </w:p>
        </w:tc>
      </w:tr>
      <w:tr w:rsidR="008638E8" w:rsidRPr="003234C5" w14:paraId="551FA718" w14:textId="77777777" w:rsidTr="008B68E8">
        <w:trPr>
          <w:trHeight w:val="295"/>
          <w:jc w:val="right"/>
        </w:trPr>
        <w:tc>
          <w:tcPr>
            <w:tcW w:w="5245" w:type="dxa"/>
            <w:shd w:val="clear" w:color="auto" w:fill="FFFFFF"/>
            <w:vAlign w:val="bottom"/>
          </w:tcPr>
          <w:p w14:paraId="46103557" w14:textId="77777777" w:rsidR="008638E8" w:rsidRPr="003234C5" w:rsidRDefault="008638E8" w:rsidP="008638E8">
            <w:pPr>
              <w:spacing w:after="0"/>
              <w:jc w:val="both"/>
              <w:rPr>
                <w:rFonts w:ascii="Arial" w:hAnsi="Arial" w:cs="Arial"/>
                <w:sz w:val="20"/>
                <w:szCs w:val="20"/>
              </w:rPr>
            </w:pPr>
            <w:r w:rsidRPr="003234C5">
              <w:rPr>
                <w:rFonts w:ascii="Arial" w:hAnsi="Arial" w:cs="Arial"/>
                <w:sz w:val="20"/>
                <w:szCs w:val="20"/>
              </w:rPr>
              <w:t>Provisão contingências trabalhistas</w:t>
            </w:r>
          </w:p>
        </w:tc>
        <w:tc>
          <w:tcPr>
            <w:tcW w:w="1885" w:type="dxa"/>
            <w:shd w:val="clear" w:color="auto" w:fill="FFFFFF"/>
            <w:vAlign w:val="center"/>
          </w:tcPr>
          <w:p w14:paraId="76DB1E86" w14:textId="157134C6" w:rsidR="008638E8" w:rsidRPr="003234C5" w:rsidRDefault="008638E8" w:rsidP="008638E8">
            <w:pPr>
              <w:spacing w:after="0"/>
              <w:jc w:val="right"/>
              <w:rPr>
                <w:rFonts w:ascii="Arial" w:hAnsi="Arial" w:cs="Arial"/>
                <w:sz w:val="20"/>
                <w:szCs w:val="20"/>
              </w:rPr>
            </w:pPr>
            <w:r>
              <w:rPr>
                <w:rFonts w:ascii="Arial" w:hAnsi="Arial" w:cs="Arial"/>
                <w:sz w:val="20"/>
                <w:szCs w:val="20"/>
              </w:rPr>
              <w:t>(7)</w:t>
            </w:r>
          </w:p>
        </w:tc>
        <w:tc>
          <w:tcPr>
            <w:tcW w:w="1885" w:type="dxa"/>
            <w:shd w:val="clear" w:color="auto" w:fill="FFFFFF"/>
            <w:vAlign w:val="center"/>
          </w:tcPr>
          <w:p w14:paraId="4F2EE54D" w14:textId="395667C4" w:rsidR="008638E8" w:rsidRPr="002F64A5" w:rsidRDefault="0069333E" w:rsidP="008638E8">
            <w:pPr>
              <w:spacing w:after="0"/>
              <w:jc w:val="right"/>
              <w:rPr>
                <w:rFonts w:ascii="Arial" w:hAnsi="Arial" w:cs="Arial"/>
                <w:sz w:val="20"/>
                <w:szCs w:val="20"/>
                <w:highlight w:val="yellow"/>
              </w:rPr>
            </w:pPr>
            <w:r w:rsidRPr="00A228B6">
              <w:rPr>
                <w:rFonts w:ascii="Arial" w:hAnsi="Arial" w:cs="Arial"/>
                <w:sz w:val="20"/>
                <w:szCs w:val="20"/>
              </w:rPr>
              <w:t>(113)</w:t>
            </w:r>
          </w:p>
        </w:tc>
      </w:tr>
      <w:tr w:rsidR="008638E8" w:rsidRPr="003234C5" w14:paraId="2749C28C" w14:textId="77777777" w:rsidTr="008B68E8">
        <w:trPr>
          <w:trHeight w:val="295"/>
          <w:jc w:val="right"/>
        </w:trPr>
        <w:tc>
          <w:tcPr>
            <w:tcW w:w="5245" w:type="dxa"/>
            <w:tcBorders>
              <w:bottom w:val="single" w:sz="4" w:space="0" w:color="auto"/>
            </w:tcBorders>
            <w:shd w:val="clear" w:color="auto" w:fill="FFFFFF"/>
            <w:vAlign w:val="bottom"/>
          </w:tcPr>
          <w:p w14:paraId="3A5A21AE" w14:textId="3F645BCC" w:rsidR="008638E8" w:rsidRPr="003234C5" w:rsidRDefault="008638E8" w:rsidP="008638E8">
            <w:pPr>
              <w:spacing w:after="0"/>
              <w:jc w:val="both"/>
              <w:rPr>
                <w:rFonts w:ascii="Arial" w:hAnsi="Arial" w:cs="Arial"/>
                <w:b/>
                <w:sz w:val="20"/>
                <w:szCs w:val="20"/>
              </w:rPr>
            </w:pPr>
            <w:r w:rsidRPr="003234C5">
              <w:rPr>
                <w:rFonts w:ascii="Arial" w:hAnsi="Arial" w:cs="Arial"/>
                <w:sz w:val="20"/>
                <w:szCs w:val="20"/>
              </w:rPr>
              <w:t>Provisão contingências cíveis</w:t>
            </w:r>
          </w:p>
        </w:tc>
        <w:tc>
          <w:tcPr>
            <w:tcW w:w="1885" w:type="dxa"/>
            <w:tcBorders>
              <w:bottom w:val="single" w:sz="4" w:space="0" w:color="auto"/>
            </w:tcBorders>
            <w:shd w:val="clear" w:color="auto" w:fill="FFFFFF"/>
            <w:vAlign w:val="center"/>
          </w:tcPr>
          <w:p w14:paraId="2ECAE182" w14:textId="416687B6" w:rsidR="008638E8" w:rsidRPr="003234C5" w:rsidRDefault="008638E8" w:rsidP="008638E8">
            <w:pPr>
              <w:spacing w:after="0"/>
              <w:jc w:val="right"/>
              <w:rPr>
                <w:rFonts w:ascii="Arial" w:hAnsi="Arial" w:cs="Arial"/>
                <w:sz w:val="20"/>
                <w:szCs w:val="20"/>
              </w:rPr>
            </w:pPr>
            <w:r>
              <w:rPr>
                <w:rFonts w:ascii="Arial" w:hAnsi="Arial" w:cs="Arial"/>
                <w:sz w:val="20"/>
                <w:szCs w:val="20"/>
              </w:rPr>
              <w:t>(1)</w:t>
            </w:r>
          </w:p>
        </w:tc>
        <w:tc>
          <w:tcPr>
            <w:tcW w:w="1885" w:type="dxa"/>
            <w:tcBorders>
              <w:bottom w:val="single" w:sz="4" w:space="0" w:color="auto"/>
            </w:tcBorders>
            <w:shd w:val="clear" w:color="auto" w:fill="FFFFFF"/>
            <w:vAlign w:val="center"/>
          </w:tcPr>
          <w:p w14:paraId="383A1523" w14:textId="41F4E24D" w:rsidR="00DF3781" w:rsidRPr="002F64A5" w:rsidRDefault="0014757C" w:rsidP="00DF3781">
            <w:pPr>
              <w:spacing w:after="0"/>
              <w:jc w:val="right"/>
              <w:rPr>
                <w:rFonts w:ascii="Arial" w:hAnsi="Arial" w:cs="Arial"/>
                <w:sz w:val="20"/>
                <w:szCs w:val="20"/>
                <w:highlight w:val="yellow"/>
              </w:rPr>
            </w:pPr>
            <w:r>
              <w:rPr>
                <w:rFonts w:ascii="Arial" w:hAnsi="Arial" w:cs="Arial"/>
                <w:sz w:val="20"/>
                <w:szCs w:val="20"/>
              </w:rPr>
              <w:t>(</w:t>
            </w:r>
            <w:r w:rsidR="00FA29B1">
              <w:rPr>
                <w:rFonts w:ascii="Arial" w:hAnsi="Arial" w:cs="Arial"/>
                <w:sz w:val="20"/>
                <w:szCs w:val="20"/>
              </w:rPr>
              <w:t>19</w:t>
            </w:r>
            <w:r>
              <w:rPr>
                <w:rFonts w:ascii="Arial" w:hAnsi="Arial" w:cs="Arial"/>
                <w:sz w:val="20"/>
                <w:szCs w:val="20"/>
              </w:rPr>
              <w:t>)</w:t>
            </w:r>
          </w:p>
        </w:tc>
      </w:tr>
      <w:tr w:rsidR="008638E8" w:rsidRPr="003234C5" w14:paraId="678ABE8A" w14:textId="77777777" w:rsidTr="008B68E8">
        <w:trPr>
          <w:trHeight w:val="295"/>
          <w:jc w:val="right"/>
        </w:trPr>
        <w:tc>
          <w:tcPr>
            <w:tcW w:w="5245" w:type="dxa"/>
            <w:tcBorders>
              <w:bottom w:val="single" w:sz="4" w:space="0" w:color="auto"/>
            </w:tcBorders>
            <w:shd w:val="clear" w:color="auto" w:fill="FFFFFF"/>
            <w:vAlign w:val="bottom"/>
          </w:tcPr>
          <w:p w14:paraId="3A356D23" w14:textId="47FCD1E1" w:rsidR="008638E8" w:rsidRPr="003234C5" w:rsidRDefault="008638E8" w:rsidP="008638E8">
            <w:pPr>
              <w:spacing w:after="0"/>
              <w:jc w:val="both"/>
              <w:rPr>
                <w:rFonts w:ascii="Arial" w:hAnsi="Arial" w:cs="Arial"/>
                <w:sz w:val="20"/>
                <w:szCs w:val="20"/>
              </w:rPr>
            </w:pPr>
            <w:r w:rsidRPr="0097116F">
              <w:rPr>
                <w:rFonts w:ascii="Arial" w:hAnsi="Arial" w:cs="Arial"/>
                <w:sz w:val="20"/>
                <w:szCs w:val="20"/>
              </w:rPr>
              <w:t>Perda alienação/baixa</w:t>
            </w:r>
          </w:p>
        </w:tc>
        <w:tc>
          <w:tcPr>
            <w:tcW w:w="1885" w:type="dxa"/>
            <w:tcBorders>
              <w:bottom w:val="single" w:sz="4" w:space="0" w:color="auto"/>
            </w:tcBorders>
            <w:shd w:val="clear" w:color="auto" w:fill="FFFFFF"/>
            <w:vAlign w:val="center"/>
          </w:tcPr>
          <w:p w14:paraId="2EA8B8F9" w14:textId="343DC976" w:rsidR="008638E8" w:rsidRDefault="008638E8" w:rsidP="008638E8">
            <w:pPr>
              <w:spacing w:after="0"/>
              <w:jc w:val="right"/>
              <w:rPr>
                <w:rFonts w:ascii="Arial" w:hAnsi="Arial" w:cs="Arial"/>
                <w:sz w:val="20"/>
                <w:szCs w:val="20"/>
              </w:rPr>
            </w:pPr>
            <w:r>
              <w:rPr>
                <w:rFonts w:ascii="Arial" w:hAnsi="Arial" w:cs="Arial"/>
                <w:sz w:val="20"/>
                <w:szCs w:val="20"/>
              </w:rPr>
              <w:t>(223)</w:t>
            </w:r>
          </w:p>
        </w:tc>
        <w:tc>
          <w:tcPr>
            <w:tcW w:w="1885" w:type="dxa"/>
            <w:tcBorders>
              <w:bottom w:val="single" w:sz="4" w:space="0" w:color="auto"/>
            </w:tcBorders>
            <w:shd w:val="clear" w:color="auto" w:fill="FFFFFF"/>
            <w:vAlign w:val="center"/>
          </w:tcPr>
          <w:p w14:paraId="19CCF975" w14:textId="7C7DC3B8" w:rsidR="008638E8" w:rsidRPr="00687935" w:rsidRDefault="0014757C" w:rsidP="008638E8">
            <w:pPr>
              <w:spacing w:after="0"/>
              <w:jc w:val="right"/>
              <w:rPr>
                <w:rFonts w:ascii="Arial" w:hAnsi="Arial" w:cs="Arial"/>
                <w:sz w:val="20"/>
                <w:szCs w:val="20"/>
              </w:rPr>
            </w:pPr>
            <w:r w:rsidRPr="00687935">
              <w:rPr>
                <w:rFonts w:ascii="Arial" w:hAnsi="Arial" w:cs="Arial"/>
                <w:sz w:val="20"/>
                <w:szCs w:val="20"/>
              </w:rPr>
              <w:t>-</w:t>
            </w:r>
          </w:p>
        </w:tc>
      </w:tr>
      <w:tr w:rsidR="008638E8" w:rsidRPr="003234C5" w14:paraId="0A23F5CB" w14:textId="77777777" w:rsidTr="008B68E8">
        <w:trPr>
          <w:trHeight w:val="295"/>
          <w:jc w:val="right"/>
        </w:trPr>
        <w:tc>
          <w:tcPr>
            <w:tcW w:w="5245" w:type="dxa"/>
            <w:tcBorders>
              <w:bottom w:val="single" w:sz="4" w:space="0" w:color="auto"/>
            </w:tcBorders>
            <w:shd w:val="clear" w:color="auto" w:fill="FFFFFF"/>
            <w:vAlign w:val="bottom"/>
          </w:tcPr>
          <w:p w14:paraId="445A0349" w14:textId="032729AF" w:rsidR="008638E8" w:rsidRPr="003234C5" w:rsidRDefault="008638E8" w:rsidP="008638E8">
            <w:pPr>
              <w:spacing w:after="0"/>
              <w:jc w:val="both"/>
              <w:rPr>
                <w:rFonts w:ascii="Arial" w:hAnsi="Arial" w:cs="Arial"/>
                <w:sz w:val="20"/>
                <w:szCs w:val="20"/>
              </w:rPr>
            </w:pPr>
            <w:r w:rsidRPr="003234C5">
              <w:rPr>
                <w:rFonts w:ascii="Arial" w:hAnsi="Arial" w:cs="Arial"/>
                <w:sz w:val="20"/>
                <w:szCs w:val="20"/>
              </w:rPr>
              <w:t>Outras despesas operacionais</w:t>
            </w:r>
          </w:p>
        </w:tc>
        <w:tc>
          <w:tcPr>
            <w:tcW w:w="1885" w:type="dxa"/>
            <w:tcBorders>
              <w:bottom w:val="single" w:sz="4" w:space="0" w:color="auto"/>
            </w:tcBorders>
            <w:shd w:val="clear" w:color="auto" w:fill="FFFFFF"/>
            <w:vAlign w:val="center"/>
          </w:tcPr>
          <w:p w14:paraId="4C3CD3DF" w14:textId="7E30E13C" w:rsidR="008638E8" w:rsidRPr="003234C5" w:rsidRDefault="008638E8" w:rsidP="008638E8">
            <w:pPr>
              <w:spacing w:after="0"/>
              <w:jc w:val="right"/>
              <w:rPr>
                <w:rFonts w:ascii="Arial" w:hAnsi="Arial" w:cs="Arial"/>
                <w:sz w:val="20"/>
                <w:szCs w:val="20"/>
              </w:rPr>
            </w:pPr>
            <w:r>
              <w:rPr>
                <w:rFonts w:ascii="Arial" w:hAnsi="Arial" w:cs="Arial"/>
                <w:sz w:val="20"/>
                <w:szCs w:val="20"/>
              </w:rPr>
              <w:t>(1)</w:t>
            </w:r>
          </w:p>
        </w:tc>
        <w:tc>
          <w:tcPr>
            <w:tcW w:w="1885" w:type="dxa"/>
            <w:tcBorders>
              <w:bottom w:val="single" w:sz="4" w:space="0" w:color="auto"/>
            </w:tcBorders>
            <w:shd w:val="clear" w:color="auto" w:fill="FFFFFF"/>
            <w:vAlign w:val="center"/>
          </w:tcPr>
          <w:p w14:paraId="5498EF5F" w14:textId="34581131" w:rsidR="008638E8" w:rsidRPr="00687935" w:rsidRDefault="007408A2" w:rsidP="008638E8">
            <w:pPr>
              <w:spacing w:after="0"/>
              <w:jc w:val="right"/>
              <w:rPr>
                <w:rFonts w:ascii="Arial" w:hAnsi="Arial" w:cs="Arial"/>
                <w:sz w:val="20"/>
                <w:szCs w:val="20"/>
              </w:rPr>
            </w:pPr>
            <w:r w:rsidRPr="00687935">
              <w:rPr>
                <w:rFonts w:ascii="Arial" w:hAnsi="Arial" w:cs="Arial"/>
                <w:sz w:val="20"/>
                <w:szCs w:val="20"/>
              </w:rPr>
              <w:t>(108)</w:t>
            </w:r>
          </w:p>
        </w:tc>
      </w:tr>
      <w:tr w:rsidR="008638E8" w:rsidRPr="003234C5" w14:paraId="4151E1E8" w14:textId="77777777" w:rsidTr="008B68E8">
        <w:trPr>
          <w:trHeight w:val="295"/>
          <w:jc w:val="right"/>
        </w:trPr>
        <w:tc>
          <w:tcPr>
            <w:tcW w:w="5245" w:type="dxa"/>
            <w:tcBorders>
              <w:bottom w:val="single" w:sz="4" w:space="0" w:color="auto"/>
            </w:tcBorders>
            <w:shd w:val="clear" w:color="auto" w:fill="FFFFFF"/>
            <w:vAlign w:val="bottom"/>
          </w:tcPr>
          <w:p w14:paraId="53B93EBD" w14:textId="7F9B6C98" w:rsidR="008638E8" w:rsidRPr="003234C5" w:rsidRDefault="008638E8" w:rsidP="008638E8">
            <w:pPr>
              <w:spacing w:after="0"/>
              <w:jc w:val="both"/>
              <w:rPr>
                <w:rFonts w:ascii="Arial" w:hAnsi="Arial" w:cs="Arial"/>
                <w:sz w:val="20"/>
                <w:szCs w:val="20"/>
              </w:rPr>
            </w:pPr>
            <w:r w:rsidRPr="003234C5">
              <w:rPr>
                <w:rFonts w:ascii="Arial" w:hAnsi="Arial" w:cs="Arial"/>
                <w:b/>
                <w:sz w:val="20"/>
                <w:szCs w:val="20"/>
              </w:rPr>
              <w:t>(-) Outras Despesas Operacionais (total</w:t>
            </w:r>
            <w:r w:rsidR="00DF22F0">
              <w:rPr>
                <w:rFonts w:ascii="Arial" w:hAnsi="Arial" w:cs="Arial"/>
                <w:b/>
                <w:sz w:val="20"/>
                <w:szCs w:val="20"/>
              </w:rPr>
              <w:t xml:space="preserve"> B</w:t>
            </w:r>
            <w:r w:rsidRPr="003234C5">
              <w:rPr>
                <w:rFonts w:ascii="Arial" w:hAnsi="Arial" w:cs="Arial"/>
                <w:b/>
                <w:sz w:val="20"/>
                <w:szCs w:val="20"/>
              </w:rPr>
              <w:t>)</w:t>
            </w:r>
          </w:p>
        </w:tc>
        <w:tc>
          <w:tcPr>
            <w:tcW w:w="1885" w:type="dxa"/>
            <w:tcBorders>
              <w:bottom w:val="single" w:sz="4" w:space="0" w:color="auto"/>
            </w:tcBorders>
            <w:shd w:val="clear" w:color="auto" w:fill="FFFFFF"/>
            <w:vAlign w:val="center"/>
          </w:tcPr>
          <w:p w14:paraId="04A8B640" w14:textId="5B45F2BB" w:rsidR="008638E8" w:rsidRPr="003234C5" w:rsidRDefault="008638E8" w:rsidP="008638E8">
            <w:pPr>
              <w:spacing w:after="0"/>
              <w:jc w:val="right"/>
              <w:rPr>
                <w:rFonts w:ascii="Arial" w:hAnsi="Arial" w:cs="Arial"/>
                <w:b/>
                <w:sz w:val="20"/>
                <w:szCs w:val="20"/>
              </w:rPr>
            </w:pPr>
            <w:r>
              <w:rPr>
                <w:rFonts w:ascii="Arial" w:hAnsi="Arial" w:cs="Arial"/>
                <w:b/>
                <w:sz w:val="20"/>
                <w:szCs w:val="20"/>
              </w:rPr>
              <w:t>(75.810)</w:t>
            </w:r>
          </w:p>
        </w:tc>
        <w:tc>
          <w:tcPr>
            <w:tcW w:w="1885" w:type="dxa"/>
            <w:tcBorders>
              <w:bottom w:val="single" w:sz="4" w:space="0" w:color="auto"/>
            </w:tcBorders>
            <w:shd w:val="clear" w:color="auto" w:fill="FFFFFF"/>
            <w:vAlign w:val="center"/>
          </w:tcPr>
          <w:p w14:paraId="576463B4" w14:textId="1536AD6D" w:rsidR="008638E8" w:rsidRPr="00687935" w:rsidRDefault="008638E8" w:rsidP="008638E8">
            <w:pPr>
              <w:spacing w:after="0"/>
              <w:jc w:val="right"/>
              <w:rPr>
                <w:rFonts w:ascii="Arial" w:hAnsi="Arial" w:cs="Arial"/>
                <w:b/>
                <w:sz w:val="20"/>
                <w:szCs w:val="20"/>
              </w:rPr>
            </w:pPr>
            <w:r w:rsidRPr="00687935">
              <w:rPr>
                <w:rFonts w:ascii="Arial" w:hAnsi="Arial" w:cs="Arial"/>
                <w:b/>
                <w:sz w:val="20"/>
                <w:szCs w:val="20"/>
              </w:rPr>
              <w:t>(10.13</w:t>
            </w:r>
            <w:r w:rsidR="00687935" w:rsidRPr="00687935">
              <w:rPr>
                <w:rFonts w:ascii="Arial" w:hAnsi="Arial" w:cs="Arial"/>
                <w:b/>
                <w:sz w:val="20"/>
                <w:szCs w:val="20"/>
              </w:rPr>
              <w:t>9</w:t>
            </w:r>
            <w:r w:rsidRPr="00687935">
              <w:rPr>
                <w:rFonts w:ascii="Arial" w:hAnsi="Arial" w:cs="Arial"/>
                <w:b/>
                <w:sz w:val="20"/>
                <w:szCs w:val="20"/>
              </w:rPr>
              <w:t>)</w:t>
            </w:r>
          </w:p>
        </w:tc>
      </w:tr>
      <w:tr w:rsidR="008638E8" w:rsidRPr="003234C5" w14:paraId="77E4DE56" w14:textId="77777777" w:rsidTr="008B68E8">
        <w:trPr>
          <w:trHeight w:val="295"/>
          <w:jc w:val="right"/>
        </w:trPr>
        <w:tc>
          <w:tcPr>
            <w:tcW w:w="5245" w:type="dxa"/>
            <w:shd w:val="clear" w:color="auto" w:fill="C0C0C0"/>
            <w:vAlign w:val="bottom"/>
          </w:tcPr>
          <w:p w14:paraId="7D54623C" w14:textId="3ACFA9CC" w:rsidR="008638E8" w:rsidRPr="003234C5" w:rsidRDefault="008638E8" w:rsidP="008638E8">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 (A</w:t>
            </w:r>
            <w:r w:rsidR="00DF22F0">
              <w:rPr>
                <w:rFonts w:ascii="Arial" w:hAnsi="Arial" w:cs="Arial"/>
                <w:b/>
                <w:sz w:val="20"/>
                <w:szCs w:val="20"/>
              </w:rPr>
              <w:t>+</w:t>
            </w:r>
            <w:r w:rsidRPr="003234C5">
              <w:rPr>
                <w:rFonts w:ascii="Arial" w:hAnsi="Arial" w:cs="Arial"/>
                <w:b/>
                <w:sz w:val="20"/>
                <w:szCs w:val="20"/>
              </w:rPr>
              <w:t>B)</w:t>
            </w:r>
          </w:p>
        </w:tc>
        <w:tc>
          <w:tcPr>
            <w:tcW w:w="1885" w:type="dxa"/>
            <w:shd w:val="clear" w:color="auto" w:fill="C0C0C0"/>
            <w:vAlign w:val="center"/>
          </w:tcPr>
          <w:p w14:paraId="294999A6" w14:textId="445B06AD" w:rsidR="008638E8" w:rsidRPr="003234C5" w:rsidRDefault="008638E8" w:rsidP="008638E8">
            <w:pPr>
              <w:spacing w:after="0"/>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7.544</w:t>
            </w:r>
          </w:p>
        </w:tc>
        <w:tc>
          <w:tcPr>
            <w:tcW w:w="1885" w:type="dxa"/>
            <w:shd w:val="clear" w:color="auto" w:fill="C0C0C0"/>
            <w:vAlign w:val="center"/>
          </w:tcPr>
          <w:p w14:paraId="079846E8" w14:textId="2BFAADC3" w:rsidR="008638E8" w:rsidRPr="003234C5" w:rsidRDefault="008638E8" w:rsidP="008638E8">
            <w:pPr>
              <w:autoSpaceDE w:val="0"/>
              <w:autoSpaceDN w:val="0"/>
              <w:adjustRightInd w:val="0"/>
              <w:spacing w:after="0"/>
              <w:jc w:val="right"/>
              <w:rPr>
                <w:rFonts w:ascii="Arial" w:hAnsi="Arial" w:cs="Arial"/>
                <w:b/>
                <w:bCs/>
                <w:sz w:val="20"/>
                <w:szCs w:val="20"/>
              </w:rPr>
            </w:pPr>
            <w:r>
              <w:rPr>
                <w:rFonts w:ascii="Arial" w:hAnsi="Arial" w:cs="Arial"/>
                <w:b/>
                <w:bCs/>
                <w:sz w:val="20"/>
                <w:szCs w:val="20"/>
              </w:rPr>
              <w:t>6.</w:t>
            </w:r>
            <w:r w:rsidR="00725AC6">
              <w:rPr>
                <w:rFonts w:ascii="Arial" w:hAnsi="Arial" w:cs="Arial"/>
                <w:b/>
                <w:bCs/>
                <w:sz w:val="20"/>
                <w:szCs w:val="20"/>
              </w:rPr>
              <w:t>568</w:t>
            </w:r>
          </w:p>
        </w:tc>
      </w:tr>
    </w:tbl>
    <w:p w14:paraId="624C8C69" w14:textId="77777777" w:rsidR="00C62487" w:rsidRDefault="00C62487" w:rsidP="00200682">
      <w:pPr>
        <w:jc w:val="both"/>
        <w:rPr>
          <w:rFonts w:ascii="Arial" w:hAnsi="Arial" w:cs="Arial"/>
          <w:b/>
        </w:rPr>
      </w:pPr>
    </w:p>
    <w:p w14:paraId="06B03919" w14:textId="321B3761" w:rsidR="00200682" w:rsidRPr="003234C5" w:rsidRDefault="00200682" w:rsidP="00200682">
      <w:pPr>
        <w:jc w:val="both"/>
        <w:rPr>
          <w:rFonts w:ascii="Arial" w:hAnsi="Arial" w:cs="Arial"/>
          <w:b/>
        </w:rPr>
      </w:pPr>
      <w:r w:rsidRPr="003234C5">
        <w:rPr>
          <w:rFonts w:ascii="Arial" w:hAnsi="Arial" w:cs="Arial"/>
          <w:b/>
        </w:rPr>
        <w:lastRenderedPageBreak/>
        <w:t xml:space="preserve">NOTA </w:t>
      </w:r>
      <w:r w:rsidR="00F62EE3" w:rsidRPr="003234C5">
        <w:rPr>
          <w:rFonts w:ascii="Arial" w:hAnsi="Arial" w:cs="Arial"/>
          <w:b/>
        </w:rPr>
        <w:t>3</w:t>
      </w:r>
      <w:r w:rsidR="005953BA">
        <w:rPr>
          <w:rFonts w:ascii="Arial" w:hAnsi="Arial" w:cs="Arial"/>
          <w:b/>
        </w:rPr>
        <w:t>2</w:t>
      </w:r>
      <w:r w:rsidRPr="003234C5">
        <w:rPr>
          <w:rFonts w:ascii="Arial" w:hAnsi="Arial" w:cs="Arial"/>
          <w:b/>
        </w:rPr>
        <w:t xml:space="preserve">. RESULTADO FINANCEIRO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1"/>
        <w:gridCol w:w="1932"/>
        <w:gridCol w:w="1884"/>
      </w:tblGrid>
      <w:tr w:rsidR="00492DEB" w:rsidRPr="003234C5" w14:paraId="3F3FA045" w14:textId="77777777" w:rsidTr="008B68E8">
        <w:trPr>
          <w:trHeight w:val="284"/>
          <w:jc w:val="center"/>
        </w:trPr>
        <w:tc>
          <w:tcPr>
            <w:tcW w:w="5251" w:type="dxa"/>
            <w:shd w:val="clear" w:color="auto" w:fill="C0C0C0"/>
            <w:vAlign w:val="center"/>
          </w:tcPr>
          <w:p w14:paraId="318B2430" w14:textId="77777777" w:rsidR="00492DEB" w:rsidRPr="003234C5" w:rsidRDefault="00492DEB" w:rsidP="00492DEB">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Receitas Financeiras</w:t>
            </w:r>
          </w:p>
        </w:tc>
        <w:tc>
          <w:tcPr>
            <w:tcW w:w="1932" w:type="dxa"/>
            <w:shd w:val="clear" w:color="auto" w:fill="C0C0C0"/>
            <w:vAlign w:val="bottom"/>
          </w:tcPr>
          <w:p w14:paraId="41F81071" w14:textId="3F17781F" w:rsidR="00492DEB" w:rsidRPr="003234C5" w:rsidRDefault="00C6257E" w:rsidP="00492DE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884" w:type="dxa"/>
            <w:shd w:val="clear" w:color="auto" w:fill="C0C0C0"/>
            <w:vAlign w:val="bottom"/>
          </w:tcPr>
          <w:p w14:paraId="649B9212" w14:textId="0F0B7FED" w:rsidR="00492DEB" w:rsidRPr="003234C5" w:rsidRDefault="00C6257E" w:rsidP="00492DE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D92111" w:rsidRPr="003234C5" w14:paraId="584E2798" w14:textId="77777777" w:rsidTr="008B68E8">
        <w:trPr>
          <w:trHeight w:val="284"/>
          <w:jc w:val="center"/>
        </w:trPr>
        <w:tc>
          <w:tcPr>
            <w:tcW w:w="5251" w:type="dxa"/>
            <w:shd w:val="clear" w:color="auto" w:fill="FFFFFF"/>
            <w:vAlign w:val="bottom"/>
          </w:tcPr>
          <w:p w14:paraId="06F447D8" w14:textId="77777777" w:rsidR="00D92111" w:rsidRPr="003234C5" w:rsidRDefault="00D92111" w:rsidP="00D92111">
            <w:pPr>
              <w:spacing w:after="0"/>
              <w:jc w:val="both"/>
              <w:rPr>
                <w:rFonts w:ascii="Arial" w:hAnsi="Arial" w:cs="Arial"/>
                <w:sz w:val="20"/>
                <w:szCs w:val="20"/>
              </w:rPr>
            </w:pPr>
            <w:r w:rsidRPr="003234C5">
              <w:rPr>
                <w:rFonts w:ascii="Arial" w:hAnsi="Arial" w:cs="Arial"/>
                <w:sz w:val="20"/>
                <w:szCs w:val="20"/>
              </w:rPr>
              <w:t xml:space="preserve">Receitas de Aplicações Financeiras </w:t>
            </w:r>
          </w:p>
        </w:tc>
        <w:tc>
          <w:tcPr>
            <w:tcW w:w="1932" w:type="dxa"/>
            <w:shd w:val="clear" w:color="auto" w:fill="FFFFFF"/>
            <w:vAlign w:val="center"/>
          </w:tcPr>
          <w:p w14:paraId="6474D59A" w14:textId="4D9CBF17" w:rsidR="00D92111" w:rsidRPr="003234C5" w:rsidRDefault="00FC72E4" w:rsidP="00D92111">
            <w:pPr>
              <w:spacing w:after="0"/>
              <w:jc w:val="right"/>
              <w:rPr>
                <w:rFonts w:ascii="Arial" w:hAnsi="Arial" w:cs="Arial"/>
                <w:sz w:val="20"/>
                <w:szCs w:val="20"/>
              </w:rPr>
            </w:pPr>
            <w:r>
              <w:rPr>
                <w:rFonts w:ascii="Arial" w:hAnsi="Arial" w:cs="Arial"/>
                <w:sz w:val="20"/>
                <w:szCs w:val="20"/>
              </w:rPr>
              <w:t>7.743</w:t>
            </w:r>
          </w:p>
        </w:tc>
        <w:tc>
          <w:tcPr>
            <w:tcW w:w="1884" w:type="dxa"/>
            <w:shd w:val="clear" w:color="auto" w:fill="FFFFFF"/>
            <w:vAlign w:val="center"/>
          </w:tcPr>
          <w:p w14:paraId="71334E42" w14:textId="32069022" w:rsidR="00D92111" w:rsidRPr="003234C5" w:rsidRDefault="00D92111" w:rsidP="00D92111">
            <w:pPr>
              <w:spacing w:after="0"/>
              <w:jc w:val="right"/>
              <w:rPr>
                <w:rFonts w:ascii="Arial" w:hAnsi="Arial" w:cs="Arial"/>
                <w:sz w:val="20"/>
                <w:szCs w:val="20"/>
              </w:rPr>
            </w:pPr>
            <w:r>
              <w:rPr>
                <w:rFonts w:ascii="Arial" w:hAnsi="Arial" w:cs="Arial"/>
                <w:color w:val="000000"/>
                <w:sz w:val="20"/>
                <w:szCs w:val="20"/>
              </w:rPr>
              <w:t>7.680</w:t>
            </w:r>
          </w:p>
        </w:tc>
      </w:tr>
      <w:tr w:rsidR="00D92111" w:rsidRPr="003234C5" w14:paraId="75D5FCF1" w14:textId="77777777" w:rsidTr="008B68E8">
        <w:trPr>
          <w:trHeight w:val="284"/>
          <w:jc w:val="center"/>
        </w:trPr>
        <w:tc>
          <w:tcPr>
            <w:tcW w:w="5251" w:type="dxa"/>
            <w:shd w:val="clear" w:color="auto" w:fill="FFFFFF"/>
            <w:vAlign w:val="bottom"/>
          </w:tcPr>
          <w:p w14:paraId="4951E888" w14:textId="77777777" w:rsidR="00D92111" w:rsidRPr="003234C5" w:rsidRDefault="00D92111" w:rsidP="00D92111">
            <w:pPr>
              <w:spacing w:after="0"/>
              <w:jc w:val="both"/>
              <w:rPr>
                <w:rFonts w:ascii="Arial" w:hAnsi="Arial" w:cs="Arial"/>
                <w:sz w:val="20"/>
                <w:szCs w:val="20"/>
              </w:rPr>
            </w:pPr>
            <w:r w:rsidRPr="003234C5">
              <w:rPr>
                <w:rFonts w:ascii="Arial" w:hAnsi="Arial" w:cs="Arial"/>
                <w:sz w:val="20"/>
                <w:szCs w:val="20"/>
              </w:rPr>
              <w:t>Outras Receitas Financeiras</w:t>
            </w:r>
          </w:p>
        </w:tc>
        <w:tc>
          <w:tcPr>
            <w:tcW w:w="1932" w:type="dxa"/>
            <w:shd w:val="clear" w:color="auto" w:fill="FFFFFF"/>
            <w:vAlign w:val="center"/>
          </w:tcPr>
          <w:p w14:paraId="66527BFA" w14:textId="752147DB" w:rsidR="00D92111" w:rsidRPr="003234C5" w:rsidRDefault="00B25FB7" w:rsidP="00D92111">
            <w:pPr>
              <w:spacing w:after="0"/>
              <w:jc w:val="right"/>
              <w:rPr>
                <w:rFonts w:ascii="Arial" w:hAnsi="Arial" w:cs="Arial"/>
                <w:sz w:val="20"/>
                <w:szCs w:val="20"/>
              </w:rPr>
            </w:pPr>
            <w:r>
              <w:rPr>
                <w:rFonts w:ascii="Arial" w:hAnsi="Arial" w:cs="Arial"/>
                <w:sz w:val="20"/>
                <w:szCs w:val="20"/>
              </w:rPr>
              <w:t>902</w:t>
            </w:r>
          </w:p>
        </w:tc>
        <w:tc>
          <w:tcPr>
            <w:tcW w:w="1884" w:type="dxa"/>
            <w:shd w:val="clear" w:color="auto" w:fill="FFFFFF"/>
            <w:vAlign w:val="center"/>
          </w:tcPr>
          <w:p w14:paraId="056B061B" w14:textId="40D43980" w:rsidR="00D92111" w:rsidRPr="003234C5" w:rsidRDefault="00D92111" w:rsidP="00D92111">
            <w:pPr>
              <w:spacing w:after="0"/>
              <w:jc w:val="right"/>
              <w:rPr>
                <w:rFonts w:ascii="Arial" w:hAnsi="Arial" w:cs="Arial"/>
                <w:sz w:val="20"/>
                <w:szCs w:val="20"/>
              </w:rPr>
            </w:pPr>
            <w:r>
              <w:rPr>
                <w:rFonts w:ascii="Arial" w:hAnsi="Arial" w:cs="Arial"/>
                <w:color w:val="000000"/>
                <w:sz w:val="20"/>
                <w:szCs w:val="20"/>
              </w:rPr>
              <w:t>793</w:t>
            </w:r>
          </w:p>
        </w:tc>
      </w:tr>
      <w:tr w:rsidR="00D92111" w:rsidRPr="003234C5" w14:paraId="63A9A44E" w14:textId="77777777" w:rsidTr="008B68E8">
        <w:trPr>
          <w:trHeight w:val="284"/>
          <w:jc w:val="center"/>
        </w:trPr>
        <w:tc>
          <w:tcPr>
            <w:tcW w:w="5251" w:type="dxa"/>
            <w:shd w:val="clear" w:color="auto" w:fill="C0C0C0"/>
            <w:vAlign w:val="bottom"/>
          </w:tcPr>
          <w:p w14:paraId="2D55A02A" w14:textId="77777777" w:rsidR="00D92111" w:rsidRPr="003234C5" w:rsidRDefault="00D92111" w:rsidP="00D9211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w:t>
            </w:r>
          </w:p>
        </w:tc>
        <w:tc>
          <w:tcPr>
            <w:tcW w:w="1932" w:type="dxa"/>
            <w:shd w:val="clear" w:color="auto" w:fill="C0C0C0"/>
            <w:vAlign w:val="center"/>
          </w:tcPr>
          <w:p w14:paraId="48EE336A" w14:textId="67D08385" w:rsidR="00D92111" w:rsidRPr="003234C5" w:rsidRDefault="00B25FB7" w:rsidP="00D92111">
            <w:pPr>
              <w:autoSpaceDE w:val="0"/>
              <w:autoSpaceDN w:val="0"/>
              <w:adjustRightInd w:val="0"/>
              <w:spacing w:after="0"/>
              <w:jc w:val="right"/>
              <w:rPr>
                <w:rFonts w:ascii="Arial" w:hAnsi="Arial" w:cs="Arial"/>
                <w:b/>
                <w:sz w:val="20"/>
                <w:szCs w:val="20"/>
              </w:rPr>
            </w:pPr>
            <w:r>
              <w:rPr>
                <w:rFonts w:ascii="Arial" w:hAnsi="Arial" w:cs="Arial"/>
                <w:b/>
                <w:sz w:val="20"/>
                <w:szCs w:val="20"/>
              </w:rPr>
              <w:t>8.645</w:t>
            </w:r>
          </w:p>
        </w:tc>
        <w:tc>
          <w:tcPr>
            <w:tcW w:w="1884" w:type="dxa"/>
            <w:shd w:val="clear" w:color="auto" w:fill="C0C0C0"/>
            <w:vAlign w:val="center"/>
          </w:tcPr>
          <w:p w14:paraId="75374046" w14:textId="28AEB27A" w:rsidR="00D92111" w:rsidRPr="003234C5" w:rsidRDefault="00D92111" w:rsidP="00D92111">
            <w:pPr>
              <w:autoSpaceDE w:val="0"/>
              <w:autoSpaceDN w:val="0"/>
              <w:adjustRightInd w:val="0"/>
              <w:spacing w:after="0"/>
              <w:jc w:val="right"/>
              <w:rPr>
                <w:rFonts w:ascii="Arial" w:hAnsi="Arial" w:cs="Arial"/>
                <w:b/>
                <w:sz w:val="20"/>
                <w:szCs w:val="20"/>
              </w:rPr>
            </w:pPr>
            <w:r>
              <w:rPr>
                <w:rFonts w:ascii="Arial" w:hAnsi="Arial" w:cs="Arial"/>
                <w:b/>
                <w:bCs/>
                <w:color w:val="000000"/>
                <w:sz w:val="20"/>
                <w:szCs w:val="20"/>
              </w:rPr>
              <w:t>8.473</w:t>
            </w:r>
          </w:p>
        </w:tc>
      </w:tr>
    </w:tbl>
    <w:p w14:paraId="7E112D4F" w14:textId="77777777" w:rsidR="00200682" w:rsidRPr="003234C5" w:rsidRDefault="00200682" w:rsidP="00200682">
      <w:pPr>
        <w:autoSpaceDE w:val="0"/>
        <w:autoSpaceDN w:val="0"/>
        <w:adjustRightInd w:val="0"/>
        <w:spacing w:after="0"/>
        <w:jc w:val="both"/>
        <w:rPr>
          <w:rFonts w:ascii="Arial" w:hAnsi="Arial" w:cs="Arial"/>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1"/>
        <w:gridCol w:w="1932"/>
        <w:gridCol w:w="1884"/>
      </w:tblGrid>
      <w:tr w:rsidR="00492DEB" w:rsidRPr="003234C5" w14:paraId="3E7EDCD8" w14:textId="77777777" w:rsidTr="008B68E8">
        <w:trPr>
          <w:trHeight w:val="223"/>
          <w:jc w:val="center"/>
        </w:trPr>
        <w:tc>
          <w:tcPr>
            <w:tcW w:w="5251" w:type="dxa"/>
            <w:shd w:val="clear" w:color="auto" w:fill="C0C0C0"/>
            <w:vAlign w:val="center"/>
          </w:tcPr>
          <w:p w14:paraId="74041BE5" w14:textId="77777777" w:rsidR="00492DEB" w:rsidRPr="003234C5" w:rsidRDefault="00492DEB" w:rsidP="00492DEB">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 – Despesas Financeiras</w:t>
            </w:r>
          </w:p>
        </w:tc>
        <w:tc>
          <w:tcPr>
            <w:tcW w:w="1932" w:type="dxa"/>
            <w:shd w:val="clear" w:color="auto" w:fill="C0C0C0"/>
            <w:vAlign w:val="bottom"/>
          </w:tcPr>
          <w:p w14:paraId="5CAF051E" w14:textId="7016FD6C" w:rsidR="00492DEB" w:rsidRPr="003234C5" w:rsidRDefault="00C6257E" w:rsidP="00492DE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884" w:type="dxa"/>
            <w:shd w:val="clear" w:color="auto" w:fill="C0C0C0"/>
            <w:vAlign w:val="bottom"/>
          </w:tcPr>
          <w:p w14:paraId="41644383" w14:textId="34384CF1" w:rsidR="00492DEB" w:rsidRPr="003234C5" w:rsidRDefault="00C6257E" w:rsidP="00492DE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D92111" w:rsidRPr="003234C5" w14:paraId="1A9D4CCC" w14:textId="77777777" w:rsidTr="008B68E8">
        <w:trPr>
          <w:trHeight w:val="284"/>
          <w:jc w:val="center"/>
        </w:trPr>
        <w:tc>
          <w:tcPr>
            <w:tcW w:w="5251" w:type="dxa"/>
            <w:shd w:val="clear" w:color="auto" w:fill="FFFFFF"/>
            <w:vAlign w:val="bottom"/>
          </w:tcPr>
          <w:p w14:paraId="23EB25A9" w14:textId="77777777" w:rsidR="00D92111" w:rsidRPr="003234C5" w:rsidRDefault="00D92111" w:rsidP="00D92111">
            <w:pPr>
              <w:spacing w:after="0"/>
              <w:jc w:val="both"/>
              <w:rPr>
                <w:rFonts w:ascii="Arial" w:hAnsi="Arial" w:cs="Arial"/>
                <w:sz w:val="20"/>
                <w:szCs w:val="20"/>
              </w:rPr>
            </w:pPr>
            <w:r w:rsidRPr="003234C5">
              <w:rPr>
                <w:rFonts w:ascii="Arial" w:hAnsi="Arial" w:cs="Arial"/>
                <w:sz w:val="20"/>
                <w:szCs w:val="20"/>
              </w:rPr>
              <w:t>Juros de Financiamentos</w:t>
            </w:r>
          </w:p>
        </w:tc>
        <w:tc>
          <w:tcPr>
            <w:tcW w:w="1932" w:type="dxa"/>
            <w:shd w:val="clear" w:color="auto" w:fill="FFFFFF"/>
            <w:vAlign w:val="center"/>
          </w:tcPr>
          <w:p w14:paraId="0F107A0C" w14:textId="6CF6F789" w:rsidR="00D92111" w:rsidRPr="003234C5" w:rsidRDefault="00AB46FC" w:rsidP="00D92111">
            <w:pPr>
              <w:spacing w:after="0"/>
              <w:jc w:val="right"/>
              <w:rPr>
                <w:rFonts w:ascii="Arial" w:hAnsi="Arial" w:cs="Arial"/>
                <w:sz w:val="20"/>
                <w:szCs w:val="20"/>
              </w:rPr>
            </w:pPr>
            <w:r>
              <w:rPr>
                <w:rFonts w:ascii="Arial" w:hAnsi="Arial" w:cs="Arial"/>
                <w:sz w:val="20"/>
                <w:szCs w:val="20"/>
              </w:rPr>
              <w:t>(</w:t>
            </w:r>
            <w:r w:rsidR="00317A0A">
              <w:rPr>
                <w:rFonts w:ascii="Arial" w:hAnsi="Arial" w:cs="Arial"/>
                <w:sz w:val="20"/>
                <w:szCs w:val="20"/>
              </w:rPr>
              <w:t>3.029</w:t>
            </w:r>
            <w:r>
              <w:rPr>
                <w:rFonts w:ascii="Arial" w:hAnsi="Arial" w:cs="Arial"/>
                <w:sz w:val="20"/>
                <w:szCs w:val="20"/>
              </w:rPr>
              <w:t>)</w:t>
            </w:r>
          </w:p>
        </w:tc>
        <w:tc>
          <w:tcPr>
            <w:tcW w:w="1884" w:type="dxa"/>
            <w:shd w:val="clear" w:color="auto" w:fill="FFFFFF"/>
            <w:vAlign w:val="center"/>
          </w:tcPr>
          <w:p w14:paraId="0626D3F0" w14:textId="1765ED8E" w:rsidR="00D92111" w:rsidRPr="003234C5" w:rsidRDefault="00AB46FC" w:rsidP="00D92111">
            <w:pPr>
              <w:spacing w:after="0"/>
              <w:jc w:val="right"/>
              <w:rPr>
                <w:rFonts w:ascii="Arial" w:hAnsi="Arial" w:cs="Arial"/>
                <w:sz w:val="20"/>
                <w:szCs w:val="20"/>
              </w:rPr>
            </w:pPr>
            <w:r>
              <w:rPr>
                <w:rFonts w:ascii="Arial" w:hAnsi="Arial" w:cs="Arial"/>
                <w:color w:val="000000"/>
                <w:sz w:val="20"/>
                <w:szCs w:val="20"/>
              </w:rPr>
              <w:t>(</w:t>
            </w:r>
            <w:r w:rsidR="00D92111">
              <w:rPr>
                <w:rFonts w:ascii="Arial" w:hAnsi="Arial" w:cs="Arial"/>
                <w:color w:val="000000"/>
                <w:sz w:val="20"/>
                <w:szCs w:val="20"/>
              </w:rPr>
              <w:t>3.882</w:t>
            </w:r>
            <w:r>
              <w:rPr>
                <w:rFonts w:ascii="Arial" w:hAnsi="Arial" w:cs="Arial"/>
                <w:color w:val="000000"/>
                <w:sz w:val="20"/>
                <w:szCs w:val="20"/>
              </w:rPr>
              <w:t>)</w:t>
            </w:r>
          </w:p>
        </w:tc>
      </w:tr>
      <w:tr w:rsidR="00D92111" w:rsidRPr="003234C5" w14:paraId="1D221E95" w14:textId="77777777" w:rsidTr="008B68E8">
        <w:trPr>
          <w:trHeight w:val="284"/>
          <w:jc w:val="center"/>
        </w:trPr>
        <w:tc>
          <w:tcPr>
            <w:tcW w:w="5251" w:type="dxa"/>
            <w:shd w:val="clear" w:color="auto" w:fill="FFFFFF"/>
            <w:vAlign w:val="bottom"/>
          </w:tcPr>
          <w:p w14:paraId="77ABF135" w14:textId="00946429" w:rsidR="00D92111" w:rsidRPr="003234C5" w:rsidRDefault="00D92111" w:rsidP="00D92111">
            <w:pPr>
              <w:spacing w:after="0"/>
              <w:jc w:val="both"/>
              <w:rPr>
                <w:rFonts w:ascii="Arial" w:hAnsi="Arial" w:cs="Arial"/>
                <w:sz w:val="20"/>
                <w:szCs w:val="20"/>
              </w:rPr>
            </w:pPr>
            <w:r w:rsidRPr="003234C5">
              <w:rPr>
                <w:rFonts w:ascii="Arial" w:hAnsi="Arial" w:cs="Arial"/>
                <w:sz w:val="20"/>
                <w:szCs w:val="20"/>
              </w:rPr>
              <w:t>Despesa Financeiras - Arrendamento</w:t>
            </w:r>
          </w:p>
        </w:tc>
        <w:tc>
          <w:tcPr>
            <w:tcW w:w="1932" w:type="dxa"/>
            <w:shd w:val="clear" w:color="auto" w:fill="FFFFFF"/>
            <w:vAlign w:val="center"/>
          </w:tcPr>
          <w:p w14:paraId="1A5181E8" w14:textId="4774F565" w:rsidR="00D92111" w:rsidRPr="003234C5" w:rsidRDefault="00AB46FC" w:rsidP="00D92111">
            <w:pPr>
              <w:spacing w:after="0"/>
              <w:jc w:val="right"/>
              <w:rPr>
                <w:rFonts w:ascii="Arial" w:hAnsi="Arial" w:cs="Arial"/>
                <w:color w:val="000000"/>
                <w:sz w:val="20"/>
                <w:szCs w:val="20"/>
              </w:rPr>
            </w:pPr>
            <w:r>
              <w:rPr>
                <w:rFonts w:ascii="Arial" w:hAnsi="Arial" w:cs="Arial"/>
                <w:color w:val="000000"/>
                <w:sz w:val="20"/>
                <w:szCs w:val="20"/>
              </w:rPr>
              <w:t>(</w:t>
            </w:r>
            <w:r w:rsidR="00317A0A">
              <w:rPr>
                <w:rFonts w:ascii="Arial" w:hAnsi="Arial" w:cs="Arial"/>
                <w:color w:val="000000"/>
                <w:sz w:val="20"/>
                <w:szCs w:val="20"/>
              </w:rPr>
              <w:t>1.13</w:t>
            </w:r>
            <w:r w:rsidR="00BF6BC1">
              <w:rPr>
                <w:rFonts w:ascii="Arial" w:hAnsi="Arial" w:cs="Arial"/>
                <w:color w:val="000000"/>
                <w:sz w:val="20"/>
                <w:szCs w:val="20"/>
              </w:rPr>
              <w:t>4</w:t>
            </w:r>
            <w:r>
              <w:rPr>
                <w:rFonts w:ascii="Arial" w:hAnsi="Arial" w:cs="Arial"/>
                <w:color w:val="000000"/>
                <w:sz w:val="20"/>
                <w:szCs w:val="20"/>
              </w:rPr>
              <w:t>)</w:t>
            </w:r>
          </w:p>
        </w:tc>
        <w:tc>
          <w:tcPr>
            <w:tcW w:w="1884" w:type="dxa"/>
            <w:shd w:val="clear" w:color="auto" w:fill="FFFFFF"/>
            <w:vAlign w:val="center"/>
          </w:tcPr>
          <w:p w14:paraId="43F15A4D" w14:textId="528A8B6C" w:rsidR="00D92111" w:rsidRPr="003234C5" w:rsidRDefault="00D92111" w:rsidP="00D92111">
            <w:pPr>
              <w:spacing w:after="0"/>
              <w:jc w:val="right"/>
              <w:rPr>
                <w:rFonts w:ascii="Arial" w:hAnsi="Arial" w:cs="Arial"/>
                <w:color w:val="000000"/>
                <w:sz w:val="20"/>
                <w:szCs w:val="20"/>
              </w:rPr>
            </w:pPr>
            <w:r>
              <w:rPr>
                <w:rFonts w:ascii="Arial" w:hAnsi="Arial" w:cs="Arial"/>
                <w:color w:val="000000"/>
                <w:sz w:val="20"/>
                <w:szCs w:val="20"/>
              </w:rPr>
              <w:t>-</w:t>
            </w:r>
          </w:p>
        </w:tc>
      </w:tr>
      <w:tr w:rsidR="00D92111" w:rsidRPr="003234C5" w14:paraId="7208B180" w14:textId="77777777" w:rsidTr="008B68E8">
        <w:trPr>
          <w:trHeight w:val="284"/>
          <w:jc w:val="center"/>
        </w:trPr>
        <w:tc>
          <w:tcPr>
            <w:tcW w:w="5251" w:type="dxa"/>
            <w:shd w:val="clear" w:color="auto" w:fill="FFFFFF"/>
            <w:vAlign w:val="bottom"/>
          </w:tcPr>
          <w:p w14:paraId="1F97E0D7" w14:textId="77777777" w:rsidR="00D92111" w:rsidRPr="003234C5" w:rsidRDefault="00D92111" w:rsidP="00D92111">
            <w:pPr>
              <w:spacing w:after="0"/>
              <w:jc w:val="both"/>
              <w:rPr>
                <w:rFonts w:ascii="Arial" w:hAnsi="Arial" w:cs="Arial"/>
                <w:sz w:val="20"/>
                <w:szCs w:val="20"/>
              </w:rPr>
            </w:pPr>
            <w:r w:rsidRPr="003234C5">
              <w:rPr>
                <w:rFonts w:ascii="Arial" w:hAnsi="Arial" w:cs="Arial"/>
                <w:sz w:val="20"/>
                <w:szCs w:val="20"/>
              </w:rPr>
              <w:t>Outras Despesas Financeiras</w:t>
            </w:r>
          </w:p>
        </w:tc>
        <w:tc>
          <w:tcPr>
            <w:tcW w:w="1932" w:type="dxa"/>
            <w:shd w:val="clear" w:color="auto" w:fill="FFFFFF"/>
            <w:vAlign w:val="center"/>
          </w:tcPr>
          <w:p w14:paraId="20994A76" w14:textId="79D04F09" w:rsidR="00D92111" w:rsidRPr="003234C5" w:rsidRDefault="00AB46FC" w:rsidP="00D92111">
            <w:pPr>
              <w:spacing w:after="0"/>
              <w:jc w:val="right"/>
              <w:rPr>
                <w:rFonts w:ascii="Arial" w:hAnsi="Arial" w:cs="Arial"/>
                <w:sz w:val="20"/>
                <w:szCs w:val="20"/>
              </w:rPr>
            </w:pPr>
            <w:r>
              <w:rPr>
                <w:rFonts w:ascii="Arial" w:hAnsi="Arial" w:cs="Arial"/>
                <w:sz w:val="20"/>
                <w:szCs w:val="20"/>
              </w:rPr>
              <w:t>(</w:t>
            </w:r>
            <w:r w:rsidR="009A2D01">
              <w:rPr>
                <w:rFonts w:ascii="Arial" w:hAnsi="Arial" w:cs="Arial"/>
                <w:sz w:val="20"/>
                <w:szCs w:val="20"/>
              </w:rPr>
              <w:t>3.083</w:t>
            </w:r>
            <w:r>
              <w:rPr>
                <w:rFonts w:ascii="Arial" w:hAnsi="Arial" w:cs="Arial"/>
                <w:sz w:val="20"/>
                <w:szCs w:val="20"/>
              </w:rPr>
              <w:t>)</w:t>
            </w:r>
          </w:p>
        </w:tc>
        <w:tc>
          <w:tcPr>
            <w:tcW w:w="1884" w:type="dxa"/>
            <w:shd w:val="clear" w:color="auto" w:fill="FFFFFF"/>
            <w:vAlign w:val="center"/>
          </w:tcPr>
          <w:p w14:paraId="33CA46BE" w14:textId="6D12752A" w:rsidR="00D92111" w:rsidRPr="003234C5" w:rsidRDefault="004C3A86" w:rsidP="00D92111">
            <w:pPr>
              <w:spacing w:after="0"/>
              <w:jc w:val="right"/>
              <w:rPr>
                <w:rFonts w:ascii="Arial" w:hAnsi="Arial" w:cs="Arial"/>
                <w:sz w:val="20"/>
                <w:szCs w:val="20"/>
              </w:rPr>
            </w:pPr>
            <w:r>
              <w:rPr>
                <w:rFonts w:ascii="Arial" w:hAnsi="Arial" w:cs="Arial"/>
                <w:sz w:val="20"/>
                <w:szCs w:val="20"/>
              </w:rPr>
              <w:t>-</w:t>
            </w:r>
          </w:p>
        </w:tc>
      </w:tr>
      <w:tr w:rsidR="00D92111" w:rsidRPr="003234C5" w14:paraId="20ACA15F" w14:textId="77777777" w:rsidTr="008B68E8">
        <w:trPr>
          <w:trHeight w:val="284"/>
          <w:jc w:val="center"/>
        </w:trPr>
        <w:tc>
          <w:tcPr>
            <w:tcW w:w="5251" w:type="dxa"/>
            <w:shd w:val="clear" w:color="auto" w:fill="C0C0C0"/>
            <w:vAlign w:val="bottom"/>
          </w:tcPr>
          <w:p w14:paraId="528E6A78" w14:textId="77777777" w:rsidR="00D92111" w:rsidRPr="003234C5" w:rsidRDefault="00D92111" w:rsidP="00D9211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w:t>
            </w:r>
          </w:p>
        </w:tc>
        <w:tc>
          <w:tcPr>
            <w:tcW w:w="1932" w:type="dxa"/>
            <w:shd w:val="clear" w:color="auto" w:fill="C0C0C0"/>
            <w:vAlign w:val="center"/>
          </w:tcPr>
          <w:p w14:paraId="3C9757E2" w14:textId="08995192" w:rsidR="00D92111" w:rsidRPr="003234C5" w:rsidRDefault="004042C7" w:rsidP="00D92111">
            <w:pPr>
              <w:autoSpaceDE w:val="0"/>
              <w:autoSpaceDN w:val="0"/>
              <w:adjustRightInd w:val="0"/>
              <w:spacing w:after="0"/>
              <w:jc w:val="right"/>
              <w:rPr>
                <w:rFonts w:ascii="Arial" w:hAnsi="Arial" w:cs="Arial"/>
                <w:b/>
                <w:sz w:val="20"/>
                <w:szCs w:val="20"/>
              </w:rPr>
            </w:pPr>
            <w:r>
              <w:rPr>
                <w:rFonts w:ascii="Arial" w:hAnsi="Arial" w:cs="Arial"/>
                <w:b/>
                <w:sz w:val="20"/>
                <w:szCs w:val="20"/>
              </w:rPr>
              <w:t>(</w:t>
            </w:r>
            <w:r w:rsidR="00144D4C">
              <w:rPr>
                <w:rFonts w:ascii="Arial" w:hAnsi="Arial" w:cs="Arial"/>
                <w:b/>
                <w:sz w:val="20"/>
                <w:szCs w:val="20"/>
              </w:rPr>
              <w:t>7.24</w:t>
            </w:r>
            <w:r w:rsidR="00E85E5C">
              <w:rPr>
                <w:rFonts w:ascii="Arial" w:hAnsi="Arial" w:cs="Arial"/>
                <w:b/>
                <w:sz w:val="20"/>
                <w:szCs w:val="20"/>
              </w:rPr>
              <w:t>6</w:t>
            </w:r>
            <w:r>
              <w:rPr>
                <w:rFonts w:ascii="Arial" w:hAnsi="Arial" w:cs="Arial"/>
                <w:b/>
                <w:sz w:val="20"/>
                <w:szCs w:val="20"/>
              </w:rPr>
              <w:t>)</w:t>
            </w:r>
          </w:p>
        </w:tc>
        <w:tc>
          <w:tcPr>
            <w:tcW w:w="1884" w:type="dxa"/>
            <w:shd w:val="clear" w:color="auto" w:fill="C0C0C0"/>
            <w:vAlign w:val="center"/>
          </w:tcPr>
          <w:p w14:paraId="15134E39" w14:textId="7BC9F49C" w:rsidR="00D92111" w:rsidRPr="003234C5" w:rsidRDefault="004042C7" w:rsidP="00D92111">
            <w:pPr>
              <w:autoSpaceDE w:val="0"/>
              <w:autoSpaceDN w:val="0"/>
              <w:adjustRightInd w:val="0"/>
              <w:spacing w:after="0"/>
              <w:jc w:val="right"/>
              <w:rPr>
                <w:rFonts w:ascii="Arial" w:hAnsi="Arial" w:cs="Arial"/>
                <w:b/>
                <w:sz w:val="20"/>
                <w:szCs w:val="20"/>
              </w:rPr>
            </w:pPr>
            <w:r>
              <w:rPr>
                <w:rFonts w:ascii="Arial" w:hAnsi="Arial" w:cs="Arial"/>
                <w:b/>
                <w:bCs/>
                <w:color w:val="000000"/>
                <w:sz w:val="20"/>
                <w:szCs w:val="20"/>
              </w:rPr>
              <w:t>(</w:t>
            </w:r>
            <w:r w:rsidR="00D92111">
              <w:rPr>
                <w:rFonts w:ascii="Arial" w:hAnsi="Arial" w:cs="Arial"/>
                <w:b/>
                <w:bCs/>
                <w:color w:val="000000"/>
                <w:sz w:val="20"/>
                <w:szCs w:val="20"/>
              </w:rPr>
              <w:t>3.88</w:t>
            </w:r>
            <w:r w:rsidR="004C3A86">
              <w:rPr>
                <w:rFonts w:ascii="Arial" w:hAnsi="Arial" w:cs="Arial"/>
                <w:b/>
                <w:bCs/>
                <w:color w:val="000000"/>
                <w:sz w:val="20"/>
                <w:szCs w:val="20"/>
              </w:rPr>
              <w:t>2</w:t>
            </w:r>
            <w:r>
              <w:rPr>
                <w:rFonts w:ascii="Arial" w:hAnsi="Arial" w:cs="Arial"/>
                <w:b/>
                <w:bCs/>
                <w:color w:val="000000"/>
                <w:sz w:val="20"/>
                <w:szCs w:val="20"/>
              </w:rPr>
              <w:t>)</w:t>
            </w:r>
          </w:p>
        </w:tc>
      </w:tr>
    </w:tbl>
    <w:p w14:paraId="19B789FD" w14:textId="77777777" w:rsidR="00200682" w:rsidRPr="003234C5" w:rsidRDefault="00200682" w:rsidP="00200682">
      <w:pPr>
        <w:autoSpaceDE w:val="0"/>
        <w:autoSpaceDN w:val="0"/>
        <w:adjustRightInd w:val="0"/>
        <w:spacing w:after="0"/>
        <w:jc w:val="both"/>
        <w:rPr>
          <w:rFonts w:ascii="Arial" w:hAnsi="Arial" w:cs="Arial"/>
        </w:rPr>
      </w:pPr>
    </w:p>
    <w:p w14:paraId="31356589" w14:textId="38698672" w:rsidR="00200682" w:rsidRPr="003234C5" w:rsidRDefault="00200682" w:rsidP="00200682">
      <w:pPr>
        <w:autoSpaceDE w:val="0"/>
        <w:autoSpaceDN w:val="0"/>
        <w:adjustRightInd w:val="0"/>
        <w:jc w:val="both"/>
        <w:rPr>
          <w:rFonts w:ascii="Arial" w:hAnsi="Arial" w:cs="Arial"/>
          <w:b/>
        </w:rPr>
      </w:pPr>
      <w:bookmarkStart w:id="44" w:name="_Hlk505247896"/>
      <w:r w:rsidRPr="003234C5">
        <w:rPr>
          <w:rFonts w:ascii="Arial" w:hAnsi="Arial" w:cs="Arial"/>
        </w:rPr>
        <w:t xml:space="preserve">As Despesas Financeiras estão representadas por juros de financiamento no montante de </w:t>
      </w:r>
      <w:r w:rsidRPr="00437565">
        <w:rPr>
          <w:rFonts w:ascii="Arial" w:hAnsi="Arial" w:cs="Arial"/>
        </w:rPr>
        <w:t xml:space="preserve">R$ </w:t>
      </w:r>
      <w:r w:rsidR="00821F56" w:rsidRPr="00437565">
        <w:rPr>
          <w:rFonts w:ascii="Arial" w:hAnsi="Arial" w:cs="Arial"/>
        </w:rPr>
        <w:t>3.029</w:t>
      </w:r>
      <w:r w:rsidR="00957D36" w:rsidRPr="00437565">
        <w:rPr>
          <w:rFonts w:ascii="Arial" w:hAnsi="Arial" w:cs="Arial"/>
        </w:rPr>
        <w:t>,</w:t>
      </w:r>
      <w:r w:rsidRPr="003234C5">
        <w:rPr>
          <w:rFonts w:ascii="Arial" w:hAnsi="Arial" w:cs="Arial"/>
        </w:rPr>
        <w:t xml:space="preserve"> referente ao contrato de financiamento firmado com o Banco do Nordeste do Brasil para expansão da rede de gasodutos</w:t>
      </w:r>
      <w:r w:rsidR="004C19A4">
        <w:rPr>
          <w:rFonts w:ascii="Arial" w:hAnsi="Arial" w:cs="Arial"/>
        </w:rPr>
        <w:t xml:space="preserve">, além da </w:t>
      </w:r>
      <w:r w:rsidR="00475F55" w:rsidRPr="001E7F5D">
        <w:rPr>
          <w:rFonts w:ascii="Arial" w:hAnsi="Arial" w:cs="Arial"/>
        </w:rPr>
        <w:t>atualização monetária, conforme</w:t>
      </w:r>
      <w:r w:rsidR="00957D36" w:rsidRPr="001E7F5D">
        <w:rPr>
          <w:rFonts w:ascii="Arial" w:hAnsi="Arial" w:cs="Arial"/>
        </w:rPr>
        <w:t xml:space="preserve"> </w:t>
      </w:r>
      <w:r w:rsidRPr="001E7F5D">
        <w:rPr>
          <w:rFonts w:ascii="Arial" w:hAnsi="Arial" w:cs="Arial"/>
        </w:rPr>
        <w:t xml:space="preserve">cláusula do </w:t>
      </w:r>
      <w:r w:rsidR="00DF22F0">
        <w:rPr>
          <w:rFonts w:ascii="Arial" w:hAnsi="Arial" w:cs="Arial"/>
        </w:rPr>
        <w:t xml:space="preserve">Termo de Encerramento de Pendências </w:t>
      </w:r>
      <w:r w:rsidR="00DF22F0" w:rsidRPr="001E7F5D">
        <w:rPr>
          <w:rFonts w:ascii="Arial" w:hAnsi="Arial" w:cs="Arial"/>
        </w:rPr>
        <w:t>(TEP)</w:t>
      </w:r>
      <w:r w:rsidR="00DF22F0">
        <w:rPr>
          <w:rFonts w:ascii="Arial" w:hAnsi="Arial" w:cs="Arial"/>
        </w:rPr>
        <w:t xml:space="preserve"> </w:t>
      </w:r>
      <w:r w:rsidRPr="001E7F5D">
        <w:rPr>
          <w:rFonts w:ascii="Arial" w:hAnsi="Arial" w:cs="Arial"/>
        </w:rPr>
        <w:t xml:space="preserve">firmado com a </w:t>
      </w:r>
      <w:r w:rsidR="00761A1E" w:rsidRPr="001E7F5D">
        <w:rPr>
          <w:rFonts w:ascii="Arial" w:hAnsi="Arial" w:cs="Arial"/>
        </w:rPr>
        <w:t>Petrobras</w:t>
      </w:r>
      <w:r w:rsidR="00475F55" w:rsidRPr="001E7F5D">
        <w:rPr>
          <w:rFonts w:ascii="Arial" w:hAnsi="Arial" w:cs="Arial"/>
        </w:rPr>
        <w:t xml:space="preserve"> </w:t>
      </w:r>
      <w:r w:rsidRPr="001E7F5D">
        <w:rPr>
          <w:rFonts w:ascii="Arial" w:hAnsi="Arial" w:cs="Arial"/>
        </w:rPr>
        <w:t xml:space="preserve"> para </w:t>
      </w:r>
      <w:r w:rsidR="00F02148" w:rsidRPr="001E7F5D">
        <w:rPr>
          <w:rFonts w:ascii="Arial" w:hAnsi="Arial" w:cs="Arial"/>
        </w:rPr>
        <w:t>operação e manutenção</w:t>
      </w:r>
      <w:r w:rsidRPr="001E7F5D">
        <w:rPr>
          <w:rFonts w:ascii="Arial" w:hAnsi="Arial" w:cs="Arial"/>
        </w:rPr>
        <w:t xml:space="preserve"> do gasoduto para atendimento a </w:t>
      </w:r>
      <w:proofErr w:type="spellStart"/>
      <w:r w:rsidR="00AC5B72" w:rsidRPr="001E7F5D">
        <w:rPr>
          <w:rFonts w:ascii="Arial" w:hAnsi="Arial" w:cs="Arial"/>
        </w:rPr>
        <w:t>Termofortaleza</w:t>
      </w:r>
      <w:proofErr w:type="spellEnd"/>
      <w:r w:rsidRPr="001E7F5D">
        <w:rPr>
          <w:rFonts w:ascii="Arial" w:hAnsi="Arial" w:cs="Arial"/>
        </w:rPr>
        <w:t xml:space="preserve">, conforme Nota Explicativa </w:t>
      </w:r>
      <w:r w:rsidR="000253F5" w:rsidRPr="001E7F5D">
        <w:rPr>
          <w:rFonts w:ascii="Arial" w:hAnsi="Arial" w:cs="Arial"/>
        </w:rPr>
        <w:t xml:space="preserve">nº </w:t>
      </w:r>
      <w:r w:rsidR="00B3256F" w:rsidRPr="001E7F5D">
        <w:rPr>
          <w:rFonts w:ascii="Arial" w:hAnsi="Arial" w:cs="Arial"/>
        </w:rPr>
        <w:t>1</w:t>
      </w:r>
      <w:r w:rsidR="005953BA">
        <w:rPr>
          <w:rFonts w:ascii="Arial" w:hAnsi="Arial" w:cs="Arial"/>
        </w:rPr>
        <w:t>9</w:t>
      </w:r>
      <w:r w:rsidR="00B12644">
        <w:rPr>
          <w:rFonts w:ascii="Arial" w:hAnsi="Arial" w:cs="Arial"/>
        </w:rPr>
        <w:t>, a qual foi registrada em Outras Despesas Financeiras.</w:t>
      </w:r>
    </w:p>
    <w:p w14:paraId="533E191C" w14:textId="165205BF" w:rsidR="00F55F52" w:rsidRPr="008C71D1" w:rsidRDefault="00200682" w:rsidP="00396014">
      <w:pPr>
        <w:widowControl w:val="0"/>
        <w:jc w:val="both"/>
        <w:rPr>
          <w:rFonts w:ascii="Arial" w:hAnsi="Arial" w:cs="Arial"/>
        </w:rPr>
      </w:pPr>
      <w:r w:rsidRPr="003234C5">
        <w:rPr>
          <w:rFonts w:ascii="Arial" w:hAnsi="Arial" w:cs="Arial"/>
        </w:rPr>
        <w:t xml:space="preserve">As Receitas Financeiras estão representadas por rendimentos de aplicações financeiras a taxas demonstradas nas Notas Explicativas n° </w:t>
      </w:r>
      <w:r w:rsidR="00B3256F" w:rsidRPr="003234C5">
        <w:rPr>
          <w:rFonts w:ascii="Arial" w:hAnsi="Arial" w:cs="Arial"/>
        </w:rPr>
        <w:t xml:space="preserve">7 </w:t>
      </w:r>
      <w:r w:rsidRPr="003234C5">
        <w:rPr>
          <w:rFonts w:ascii="Arial" w:hAnsi="Arial" w:cs="Arial"/>
        </w:rPr>
        <w:t xml:space="preserve">e </w:t>
      </w:r>
      <w:r w:rsidR="00B3256F" w:rsidRPr="003234C5">
        <w:rPr>
          <w:rFonts w:ascii="Arial" w:hAnsi="Arial" w:cs="Arial"/>
        </w:rPr>
        <w:t>8</w:t>
      </w:r>
      <w:r w:rsidRPr="003234C5">
        <w:rPr>
          <w:rFonts w:ascii="Arial" w:hAnsi="Arial" w:cs="Arial"/>
        </w:rPr>
        <w:t>.</w:t>
      </w:r>
      <w:bookmarkEnd w:id="44"/>
    </w:p>
    <w:p w14:paraId="50CC4303" w14:textId="1EA58A88" w:rsidR="00200682" w:rsidRPr="003234C5" w:rsidRDefault="00200682" w:rsidP="00200682">
      <w:pPr>
        <w:widowControl w:val="0"/>
        <w:spacing w:after="120"/>
        <w:jc w:val="both"/>
        <w:rPr>
          <w:rFonts w:ascii="Arial" w:hAnsi="Arial" w:cs="Arial"/>
          <w:b/>
        </w:rPr>
      </w:pPr>
      <w:r w:rsidRPr="003234C5">
        <w:rPr>
          <w:rFonts w:ascii="Arial" w:hAnsi="Arial" w:cs="Arial"/>
          <w:b/>
        </w:rPr>
        <w:t xml:space="preserve">NOTA </w:t>
      </w:r>
      <w:r w:rsidR="00F62EE3" w:rsidRPr="003234C5">
        <w:rPr>
          <w:rFonts w:ascii="Arial" w:hAnsi="Arial" w:cs="Arial"/>
          <w:b/>
        </w:rPr>
        <w:t>3</w:t>
      </w:r>
      <w:r w:rsidR="00E85E5C">
        <w:rPr>
          <w:rFonts w:ascii="Arial" w:hAnsi="Arial" w:cs="Arial"/>
          <w:b/>
        </w:rPr>
        <w:t>3</w:t>
      </w:r>
      <w:r w:rsidRPr="003234C5">
        <w:rPr>
          <w:rFonts w:ascii="Arial" w:hAnsi="Arial" w:cs="Arial"/>
          <w:b/>
        </w:rPr>
        <w:t>. IMPOSTO DE RENDA E CONTRIBUIÇÃO SOCIAL</w:t>
      </w:r>
    </w:p>
    <w:p w14:paraId="4733A80D" w14:textId="2E617967" w:rsidR="00200682" w:rsidRPr="003234C5" w:rsidRDefault="00200682" w:rsidP="00200682">
      <w:pPr>
        <w:rPr>
          <w:rFonts w:ascii="Arial" w:hAnsi="Arial" w:cs="Arial"/>
        </w:rPr>
      </w:pPr>
      <w:r w:rsidRPr="003234C5">
        <w:rPr>
          <w:rFonts w:ascii="Arial" w:hAnsi="Arial" w:cs="Arial"/>
        </w:rPr>
        <w:t xml:space="preserve">O imposto de renda e a contribuição social diferidos têm a seguinte origem: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0"/>
        <w:gridCol w:w="1436"/>
        <w:gridCol w:w="1436"/>
      </w:tblGrid>
      <w:tr w:rsidR="009B34F5" w:rsidRPr="003234C5" w14:paraId="39C02B4D" w14:textId="77777777" w:rsidTr="004D54FC">
        <w:trPr>
          <w:trHeight w:val="220"/>
        </w:trPr>
        <w:tc>
          <w:tcPr>
            <w:tcW w:w="6200" w:type="dxa"/>
            <w:shd w:val="clear" w:color="auto" w:fill="C0C0C0"/>
            <w:vAlign w:val="center"/>
          </w:tcPr>
          <w:p w14:paraId="23C2CC06" w14:textId="5647FADD" w:rsidR="00376D9F" w:rsidRPr="003234C5" w:rsidRDefault="00376D9F" w:rsidP="00376D9F">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w:t>
            </w:r>
          </w:p>
        </w:tc>
        <w:tc>
          <w:tcPr>
            <w:tcW w:w="1436" w:type="dxa"/>
            <w:shd w:val="clear" w:color="auto" w:fill="C0C0C0"/>
            <w:vAlign w:val="bottom"/>
          </w:tcPr>
          <w:p w14:paraId="0319B8BB" w14:textId="0662368F" w:rsidR="00376D9F" w:rsidRPr="003234C5" w:rsidRDefault="00C6257E" w:rsidP="00376D9F">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436" w:type="dxa"/>
            <w:shd w:val="clear" w:color="auto" w:fill="C0C0C0"/>
            <w:vAlign w:val="bottom"/>
          </w:tcPr>
          <w:p w14:paraId="0CD09A67" w14:textId="04A2D7B8" w:rsidR="00376D9F" w:rsidRPr="003234C5" w:rsidRDefault="00C6257E" w:rsidP="00376D9F">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9B34F5" w:rsidRPr="003234C5" w14:paraId="4E494880" w14:textId="77777777" w:rsidTr="00E82897">
        <w:trPr>
          <w:trHeight w:val="220"/>
        </w:trPr>
        <w:tc>
          <w:tcPr>
            <w:tcW w:w="6200" w:type="dxa"/>
            <w:shd w:val="clear" w:color="auto" w:fill="FFFFFF"/>
            <w:vAlign w:val="bottom"/>
          </w:tcPr>
          <w:p w14:paraId="1C49F731" w14:textId="77777777" w:rsidR="00B179BA" w:rsidRPr="003234C5" w:rsidRDefault="00B179BA" w:rsidP="00B179BA">
            <w:pPr>
              <w:spacing w:after="0"/>
              <w:jc w:val="both"/>
              <w:rPr>
                <w:rFonts w:ascii="Arial" w:hAnsi="Arial" w:cs="Arial"/>
                <w:bCs/>
                <w:sz w:val="20"/>
                <w:szCs w:val="20"/>
              </w:rPr>
            </w:pPr>
            <w:r w:rsidRPr="003234C5">
              <w:rPr>
                <w:rFonts w:ascii="Arial" w:hAnsi="Arial" w:cs="Arial"/>
                <w:bCs/>
                <w:sz w:val="20"/>
                <w:szCs w:val="20"/>
              </w:rPr>
              <w:t>Processos Judiciais com Depósitos Integrais</w:t>
            </w:r>
          </w:p>
        </w:tc>
        <w:tc>
          <w:tcPr>
            <w:tcW w:w="1436" w:type="dxa"/>
            <w:shd w:val="clear" w:color="auto" w:fill="FFFFFF"/>
            <w:vAlign w:val="center"/>
          </w:tcPr>
          <w:p w14:paraId="5C9CCF44" w14:textId="38A14189" w:rsidR="00B179BA" w:rsidRPr="003234C5" w:rsidRDefault="007D7E14" w:rsidP="00B179BA">
            <w:pPr>
              <w:spacing w:after="0"/>
              <w:jc w:val="right"/>
              <w:rPr>
                <w:rFonts w:ascii="Arial" w:hAnsi="Arial" w:cs="Arial"/>
                <w:sz w:val="20"/>
                <w:szCs w:val="20"/>
              </w:rPr>
            </w:pPr>
            <w:r>
              <w:rPr>
                <w:rFonts w:ascii="Arial" w:hAnsi="Arial" w:cs="Arial"/>
                <w:sz w:val="20"/>
                <w:szCs w:val="20"/>
              </w:rPr>
              <w:t>1.535</w:t>
            </w:r>
          </w:p>
        </w:tc>
        <w:tc>
          <w:tcPr>
            <w:tcW w:w="1436" w:type="dxa"/>
            <w:shd w:val="clear" w:color="auto" w:fill="FFFFFF"/>
            <w:vAlign w:val="center"/>
          </w:tcPr>
          <w:p w14:paraId="06C853F3" w14:textId="01FB794B" w:rsidR="00B179BA" w:rsidRPr="003234C5" w:rsidRDefault="00DD149F" w:rsidP="00B179BA">
            <w:pPr>
              <w:spacing w:after="0"/>
              <w:jc w:val="right"/>
              <w:rPr>
                <w:rFonts w:ascii="Arial" w:hAnsi="Arial" w:cs="Arial"/>
                <w:kern w:val="2"/>
                <w:sz w:val="20"/>
                <w:szCs w:val="20"/>
              </w:rPr>
            </w:pPr>
            <w:r>
              <w:rPr>
                <w:rFonts w:ascii="Arial" w:hAnsi="Arial" w:cs="Arial"/>
                <w:kern w:val="2"/>
                <w:sz w:val="20"/>
                <w:szCs w:val="20"/>
              </w:rPr>
              <w:t>1.443</w:t>
            </w:r>
          </w:p>
        </w:tc>
      </w:tr>
      <w:tr w:rsidR="009B34F5" w:rsidRPr="003234C5" w14:paraId="60DC07A8" w14:textId="77777777" w:rsidTr="00E82897">
        <w:trPr>
          <w:trHeight w:val="220"/>
        </w:trPr>
        <w:tc>
          <w:tcPr>
            <w:tcW w:w="6200" w:type="dxa"/>
            <w:shd w:val="clear" w:color="auto" w:fill="C0C0C0"/>
            <w:vAlign w:val="bottom"/>
          </w:tcPr>
          <w:p w14:paraId="6C6F2B51" w14:textId="77777777" w:rsidR="00B179BA" w:rsidRPr="003234C5" w:rsidRDefault="00B179BA" w:rsidP="00B179BA">
            <w:pPr>
              <w:autoSpaceDE w:val="0"/>
              <w:autoSpaceDN w:val="0"/>
              <w:adjustRightInd w:val="0"/>
              <w:spacing w:after="0"/>
              <w:jc w:val="both"/>
              <w:rPr>
                <w:rFonts w:ascii="Arial" w:hAnsi="Arial" w:cs="Arial"/>
                <w:b/>
                <w:sz w:val="20"/>
                <w:szCs w:val="20"/>
              </w:rPr>
            </w:pPr>
            <w:r w:rsidRPr="003234C5">
              <w:rPr>
                <w:rFonts w:ascii="Arial" w:hAnsi="Arial" w:cs="Arial"/>
                <w:b/>
                <w:sz w:val="20"/>
                <w:szCs w:val="20"/>
              </w:rPr>
              <w:t>IMPOSTO DE RENDA E CONTRIBUIÇÃO SOCIAL DIFERIDOS</w:t>
            </w:r>
          </w:p>
        </w:tc>
        <w:tc>
          <w:tcPr>
            <w:tcW w:w="1436" w:type="dxa"/>
            <w:shd w:val="clear" w:color="auto" w:fill="C0C0C0"/>
            <w:vAlign w:val="center"/>
          </w:tcPr>
          <w:p w14:paraId="7FDDB3F0" w14:textId="5D5D4D51" w:rsidR="00B179BA" w:rsidRPr="003234C5" w:rsidRDefault="00646EA1" w:rsidP="00B179BA">
            <w:pPr>
              <w:autoSpaceDE w:val="0"/>
              <w:autoSpaceDN w:val="0"/>
              <w:adjustRightInd w:val="0"/>
              <w:spacing w:after="0"/>
              <w:jc w:val="right"/>
              <w:rPr>
                <w:rFonts w:ascii="Arial" w:hAnsi="Arial" w:cs="Arial"/>
                <w:b/>
                <w:sz w:val="20"/>
                <w:szCs w:val="20"/>
              </w:rPr>
            </w:pPr>
            <w:r>
              <w:rPr>
                <w:rFonts w:ascii="Arial" w:hAnsi="Arial" w:cs="Arial"/>
                <w:b/>
                <w:sz w:val="20"/>
                <w:szCs w:val="20"/>
              </w:rPr>
              <w:t>1.535</w:t>
            </w:r>
          </w:p>
        </w:tc>
        <w:tc>
          <w:tcPr>
            <w:tcW w:w="1436" w:type="dxa"/>
            <w:shd w:val="clear" w:color="auto" w:fill="C0C0C0"/>
            <w:vAlign w:val="center"/>
          </w:tcPr>
          <w:p w14:paraId="774D0594" w14:textId="3B14CF47" w:rsidR="00B179BA" w:rsidRPr="003234C5" w:rsidRDefault="00DD149F" w:rsidP="00B179BA">
            <w:pPr>
              <w:autoSpaceDE w:val="0"/>
              <w:autoSpaceDN w:val="0"/>
              <w:adjustRightInd w:val="0"/>
              <w:spacing w:after="0"/>
              <w:jc w:val="right"/>
              <w:rPr>
                <w:rFonts w:ascii="Arial" w:hAnsi="Arial" w:cs="Arial"/>
                <w:b/>
                <w:sz w:val="20"/>
                <w:szCs w:val="20"/>
              </w:rPr>
            </w:pPr>
            <w:r>
              <w:rPr>
                <w:rFonts w:ascii="Arial" w:hAnsi="Arial" w:cs="Arial"/>
                <w:b/>
                <w:sz w:val="20"/>
                <w:szCs w:val="20"/>
              </w:rPr>
              <w:t>1.443</w:t>
            </w:r>
          </w:p>
        </w:tc>
      </w:tr>
    </w:tbl>
    <w:p w14:paraId="0FD31A08" w14:textId="7D608271" w:rsidR="001853A7" w:rsidRDefault="00200682" w:rsidP="00810963">
      <w:pPr>
        <w:spacing w:before="240" w:line="264" w:lineRule="auto"/>
        <w:jc w:val="both"/>
        <w:rPr>
          <w:rFonts w:ascii="Arial" w:hAnsi="Arial" w:cs="Arial"/>
        </w:rPr>
      </w:pPr>
      <w:r w:rsidRPr="003234C5">
        <w:rPr>
          <w:rFonts w:ascii="Arial" w:hAnsi="Arial" w:cs="Arial"/>
        </w:rPr>
        <w:t xml:space="preserve">A conciliação da despesa calculada pela aplicação das alíquotas fiscais nominais combinadas e da despesa de imposto de renda e contribuição social registrada no resultado está demonstrada a seguir: </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02"/>
        <w:gridCol w:w="2035"/>
        <w:gridCol w:w="2035"/>
      </w:tblGrid>
      <w:tr w:rsidR="009B34F5" w:rsidRPr="003234C5" w14:paraId="0BB663B2" w14:textId="77777777" w:rsidTr="004D54FC">
        <w:trPr>
          <w:trHeight w:val="170"/>
        </w:trPr>
        <w:tc>
          <w:tcPr>
            <w:tcW w:w="5002" w:type="dxa"/>
            <w:shd w:val="clear" w:color="auto" w:fill="C0C0C0"/>
            <w:vAlign w:val="center"/>
          </w:tcPr>
          <w:p w14:paraId="4CEDB801" w14:textId="77777777" w:rsidR="00376D9F" w:rsidRPr="003234C5" w:rsidRDefault="00376D9F" w:rsidP="00376D9F">
            <w:pPr>
              <w:autoSpaceDE w:val="0"/>
              <w:autoSpaceDN w:val="0"/>
              <w:adjustRightInd w:val="0"/>
              <w:spacing w:after="0"/>
              <w:jc w:val="both"/>
              <w:rPr>
                <w:rFonts w:ascii="Arial" w:hAnsi="Arial" w:cs="Arial"/>
                <w:b/>
                <w:sz w:val="20"/>
                <w:szCs w:val="20"/>
              </w:rPr>
            </w:pPr>
            <w:r w:rsidRPr="003234C5">
              <w:rPr>
                <w:rFonts w:ascii="Arial" w:hAnsi="Arial" w:cs="Arial"/>
                <w:b/>
                <w:bCs/>
                <w:sz w:val="20"/>
                <w:szCs w:val="20"/>
              </w:rPr>
              <w:t>Efeito da CSLL</w:t>
            </w:r>
          </w:p>
        </w:tc>
        <w:tc>
          <w:tcPr>
            <w:tcW w:w="2035" w:type="dxa"/>
            <w:shd w:val="clear" w:color="auto" w:fill="C0C0C0"/>
            <w:vAlign w:val="bottom"/>
          </w:tcPr>
          <w:p w14:paraId="56B8E5EA" w14:textId="54B73D8A" w:rsidR="00376D9F" w:rsidRPr="003234C5" w:rsidRDefault="00C6257E" w:rsidP="00376D9F">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2035" w:type="dxa"/>
            <w:shd w:val="clear" w:color="auto" w:fill="C0C0C0"/>
            <w:vAlign w:val="bottom"/>
          </w:tcPr>
          <w:p w14:paraId="0E591CE6" w14:textId="3A1E882B" w:rsidR="00376D9F" w:rsidRPr="003234C5" w:rsidRDefault="00C6257E" w:rsidP="00376D9F">
            <w:pPr>
              <w:autoSpaceDE w:val="0"/>
              <w:autoSpaceDN w:val="0"/>
              <w:adjustRightInd w:val="0"/>
              <w:spacing w:after="0"/>
              <w:jc w:val="center"/>
              <w:rPr>
                <w:rFonts w:ascii="Arial" w:hAnsi="Arial" w:cs="Arial"/>
                <w:b/>
                <w:kern w:val="2"/>
                <w:sz w:val="20"/>
                <w:szCs w:val="20"/>
              </w:rPr>
            </w:pPr>
            <w:r>
              <w:rPr>
                <w:rFonts w:ascii="Arial" w:hAnsi="Arial" w:cs="Arial"/>
                <w:b/>
                <w:bCs/>
                <w:color w:val="000000"/>
                <w:sz w:val="20"/>
                <w:szCs w:val="20"/>
              </w:rPr>
              <w:t>2018</w:t>
            </w:r>
          </w:p>
        </w:tc>
      </w:tr>
      <w:tr w:rsidR="009B34F5" w:rsidRPr="003234C5" w14:paraId="12698155" w14:textId="77777777" w:rsidTr="00E82897">
        <w:trPr>
          <w:trHeight w:val="170"/>
        </w:trPr>
        <w:tc>
          <w:tcPr>
            <w:tcW w:w="5002" w:type="dxa"/>
            <w:shd w:val="clear" w:color="auto" w:fill="FFFFFF"/>
            <w:vAlign w:val="bottom"/>
          </w:tcPr>
          <w:p w14:paraId="6F1B69B8"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Lucro Antes da CSLL após reversão do JRCP</w:t>
            </w:r>
          </w:p>
        </w:tc>
        <w:tc>
          <w:tcPr>
            <w:tcW w:w="2035" w:type="dxa"/>
            <w:shd w:val="clear" w:color="auto" w:fill="FFFFFF"/>
            <w:vAlign w:val="center"/>
          </w:tcPr>
          <w:p w14:paraId="09B3B1AE" w14:textId="6508D687" w:rsidR="00D27171" w:rsidRPr="003234C5" w:rsidRDefault="00CC41CA" w:rsidP="00D27171">
            <w:pPr>
              <w:spacing w:after="0"/>
              <w:jc w:val="right"/>
              <w:rPr>
                <w:rFonts w:ascii="Arial" w:hAnsi="Arial" w:cs="Arial"/>
                <w:sz w:val="20"/>
                <w:szCs w:val="20"/>
              </w:rPr>
            </w:pPr>
            <w:r>
              <w:rPr>
                <w:rFonts w:ascii="Arial" w:hAnsi="Arial" w:cs="Arial"/>
                <w:sz w:val="20"/>
                <w:szCs w:val="20"/>
              </w:rPr>
              <w:t>68</w:t>
            </w:r>
            <w:r w:rsidR="005C164B">
              <w:rPr>
                <w:rFonts w:ascii="Arial" w:hAnsi="Arial" w:cs="Arial"/>
                <w:sz w:val="20"/>
                <w:szCs w:val="20"/>
              </w:rPr>
              <w:t>.351</w:t>
            </w:r>
          </w:p>
        </w:tc>
        <w:tc>
          <w:tcPr>
            <w:tcW w:w="2035" w:type="dxa"/>
            <w:shd w:val="clear" w:color="auto" w:fill="FFFFFF"/>
            <w:vAlign w:val="center"/>
          </w:tcPr>
          <w:p w14:paraId="4DB4212C" w14:textId="12D9B341" w:rsidR="00D27171" w:rsidRPr="003234C5" w:rsidRDefault="00A779E1" w:rsidP="00D27171">
            <w:pPr>
              <w:spacing w:after="0"/>
              <w:jc w:val="right"/>
              <w:rPr>
                <w:rFonts w:ascii="Arial" w:hAnsi="Arial" w:cs="Arial"/>
                <w:sz w:val="20"/>
                <w:szCs w:val="20"/>
              </w:rPr>
            </w:pPr>
            <w:r>
              <w:rPr>
                <w:rFonts w:ascii="Arial" w:hAnsi="Arial" w:cs="Arial"/>
                <w:sz w:val="20"/>
                <w:szCs w:val="20"/>
              </w:rPr>
              <w:t>63.177</w:t>
            </w:r>
          </w:p>
        </w:tc>
      </w:tr>
      <w:tr w:rsidR="009B34F5" w:rsidRPr="003234C5" w14:paraId="050E7A1B" w14:textId="77777777" w:rsidTr="00E82897">
        <w:trPr>
          <w:trHeight w:val="170"/>
        </w:trPr>
        <w:tc>
          <w:tcPr>
            <w:tcW w:w="5002" w:type="dxa"/>
            <w:shd w:val="clear" w:color="auto" w:fill="FFFFFF"/>
            <w:vAlign w:val="bottom"/>
          </w:tcPr>
          <w:p w14:paraId="74936661"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Despesas JRCP</w:t>
            </w:r>
          </w:p>
        </w:tc>
        <w:tc>
          <w:tcPr>
            <w:tcW w:w="2035" w:type="dxa"/>
            <w:shd w:val="clear" w:color="auto" w:fill="FFFFFF"/>
            <w:vAlign w:val="center"/>
          </w:tcPr>
          <w:p w14:paraId="55CB8289" w14:textId="7376DC4C" w:rsidR="00D27171" w:rsidRPr="003234C5" w:rsidRDefault="003B319E" w:rsidP="00D27171">
            <w:pPr>
              <w:spacing w:after="0"/>
              <w:jc w:val="right"/>
              <w:rPr>
                <w:rFonts w:ascii="Arial" w:hAnsi="Arial" w:cs="Arial"/>
                <w:sz w:val="20"/>
                <w:szCs w:val="20"/>
              </w:rPr>
            </w:pPr>
            <w:r>
              <w:rPr>
                <w:rFonts w:ascii="Arial" w:hAnsi="Arial" w:cs="Arial"/>
                <w:sz w:val="20"/>
                <w:szCs w:val="20"/>
              </w:rPr>
              <w:t>(</w:t>
            </w:r>
            <w:r w:rsidR="00B80288">
              <w:rPr>
                <w:rFonts w:ascii="Arial" w:hAnsi="Arial" w:cs="Arial"/>
                <w:sz w:val="20"/>
                <w:szCs w:val="20"/>
              </w:rPr>
              <w:t>10.083</w:t>
            </w:r>
            <w:r>
              <w:rPr>
                <w:rFonts w:ascii="Arial" w:hAnsi="Arial" w:cs="Arial"/>
                <w:sz w:val="20"/>
                <w:szCs w:val="20"/>
              </w:rPr>
              <w:t>)</w:t>
            </w:r>
          </w:p>
        </w:tc>
        <w:tc>
          <w:tcPr>
            <w:tcW w:w="2035" w:type="dxa"/>
            <w:shd w:val="clear" w:color="auto" w:fill="FFFFFF"/>
            <w:vAlign w:val="center"/>
          </w:tcPr>
          <w:p w14:paraId="7B5B9FCD" w14:textId="0ED02B7A" w:rsidR="00D27171" w:rsidRPr="003234C5" w:rsidRDefault="00A779E1" w:rsidP="00D27171">
            <w:pPr>
              <w:spacing w:after="0"/>
              <w:jc w:val="right"/>
              <w:rPr>
                <w:rFonts w:ascii="Arial" w:hAnsi="Arial" w:cs="Arial"/>
                <w:sz w:val="20"/>
                <w:szCs w:val="20"/>
              </w:rPr>
            </w:pPr>
            <w:r>
              <w:rPr>
                <w:rFonts w:ascii="Arial" w:hAnsi="Arial" w:cs="Arial"/>
                <w:sz w:val="20"/>
                <w:szCs w:val="20"/>
              </w:rPr>
              <w:t>(10.006)</w:t>
            </w:r>
          </w:p>
        </w:tc>
      </w:tr>
      <w:tr w:rsidR="009B34F5" w:rsidRPr="003234C5" w14:paraId="1470D799" w14:textId="77777777" w:rsidTr="00E82897">
        <w:trPr>
          <w:trHeight w:val="170"/>
        </w:trPr>
        <w:tc>
          <w:tcPr>
            <w:tcW w:w="5002" w:type="dxa"/>
            <w:shd w:val="clear" w:color="auto" w:fill="FFFFFF"/>
            <w:vAlign w:val="bottom"/>
          </w:tcPr>
          <w:p w14:paraId="176F1063"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Lucro Antes da CSLL</w:t>
            </w:r>
          </w:p>
        </w:tc>
        <w:tc>
          <w:tcPr>
            <w:tcW w:w="2035" w:type="dxa"/>
            <w:shd w:val="clear" w:color="auto" w:fill="FFFFFF"/>
            <w:vAlign w:val="center"/>
          </w:tcPr>
          <w:p w14:paraId="1AD470BF" w14:textId="3BA3C109" w:rsidR="00D27171" w:rsidRPr="003234C5" w:rsidRDefault="00741C95" w:rsidP="00D27171">
            <w:pPr>
              <w:spacing w:after="0"/>
              <w:jc w:val="right"/>
              <w:rPr>
                <w:rFonts w:ascii="Arial" w:hAnsi="Arial" w:cs="Arial"/>
                <w:sz w:val="20"/>
                <w:szCs w:val="20"/>
              </w:rPr>
            </w:pPr>
            <w:r>
              <w:rPr>
                <w:rFonts w:ascii="Arial" w:hAnsi="Arial" w:cs="Arial"/>
                <w:sz w:val="20"/>
                <w:szCs w:val="20"/>
              </w:rPr>
              <w:t>58.268</w:t>
            </w:r>
          </w:p>
        </w:tc>
        <w:tc>
          <w:tcPr>
            <w:tcW w:w="2035" w:type="dxa"/>
            <w:shd w:val="clear" w:color="auto" w:fill="FFFFFF"/>
            <w:vAlign w:val="center"/>
          </w:tcPr>
          <w:p w14:paraId="62F60D80" w14:textId="494BFD75" w:rsidR="00D27171" w:rsidRPr="003234C5" w:rsidRDefault="00656269" w:rsidP="00D27171">
            <w:pPr>
              <w:spacing w:after="0"/>
              <w:jc w:val="right"/>
              <w:rPr>
                <w:rFonts w:ascii="Arial" w:hAnsi="Arial" w:cs="Arial"/>
                <w:sz w:val="20"/>
                <w:szCs w:val="20"/>
              </w:rPr>
            </w:pPr>
            <w:r>
              <w:rPr>
                <w:rFonts w:ascii="Arial" w:hAnsi="Arial" w:cs="Arial"/>
                <w:sz w:val="20"/>
                <w:szCs w:val="20"/>
              </w:rPr>
              <w:t>53.171</w:t>
            </w:r>
          </w:p>
        </w:tc>
      </w:tr>
      <w:tr w:rsidR="009B34F5" w:rsidRPr="003234C5" w14:paraId="5D260451" w14:textId="77777777" w:rsidTr="00E82897">
        <w:trPr>
          <w:trHeight w:val="170"/>
        </w:trPr>
        <w:tc>
          <w:tcPr>
            <w:tcW w:w="5002" w:type="dxa"/>
            <w:shd w:val="clear" w:color="auto" w:fill="FFFFFF"/>
            <w:vAlign w:val="bottom"/>
          </w:tcPr>
          <w:p w14:paraId="480BB1DE" w14:textId="77777777" w:rsidR="00D27171" w:rsidRPr="003234C5" w:rsidRDefault="00D27171" w:rsidP="00D27171">
            <w:pPr>
              <w:spacing w:after="0"/>
              <w:jc w:val="both"/>
              <w:rPr>
                <w:rFonts w:ascii="Arial" w:hAnsi="Arial" w:cs="Arial"/>
                <w:b/>
                <w:bCs/>
                <w:sz w:val="20"/>
                <w:szCs w:val="20"/>
              </w:rPr>
            </w:pPr>
            <w:r w:rsidRPr="003234C5">
              <w:rPr>
                <w:rFonts w:ascii="Arial" w:hAnsi="Arial" w:cs="Arial"/>
                <w:b/>
                <w:bCs/>
                <w:sz w:val="20"/>
                <w:szCs w:val="20"/>
              </w:rPr>
              <w:t>(+) Adição ao lucro real</w:t>
            </w:r>
          </w:p>
        </w:tc>
        <w:tc>
          <w:tcPr>
            <w:tcW w:w="2035" w:type="dxa"/>
            <w:shd w:val="clear" w:color="auto" w:fill="FFFFFF"/>
            <w:vAlign w:val="center"/>
          </w:tcPr>
          <w:p w14:paraId="03B36EB7" w14:textId="370C1C9D" w:rsidR="00D27171" w:rsidRPr="003234C5" w:rsidRDefault="00E80FEF" w:rsidP="00D27171">
            <w:pPr>
              <w:spacing w:after="0"/>
              <w:jc w:val="right"/>
              <w:rPr>
                <w:rFonts w:ascii="Arial" w:hAnsi="Arial" w:cs="Arial"/>
                <w:b/>
                <w:sz w:val="20"/>
                <w:szCs w:val="20"/>
              </w:rPr>
            </w:pPr>
            <w:r>
              <w:rPr>
                <w:rFonts w:ascii="Arial" w:hAnsi="Arial" w:cs="Arial"/>
                <w:b/>
                <w:sz w:val="20"/>
                <w:szCs w:val="20"/>
              </w:rPr>
              <w:t>8.239</w:t>
            </w:r>
          </w:p>
        </w:tc>
        <w:tc>
          <w:tcPr>
            <w:tcW w:w="2035" w:type="dxa"/>
            <w:shd w:val="clear" w:color="auto" w:fill="FFFFFF"/>
            <w:vAlign w:val="center"/>
          </w:tcPr>
          <w:p w14:paraId="15AB0686" w14:textId="648D6093" w:rsidR="00D27171" w:rsidRPr="003234C5" w:rsidRDefault="00656269" w:rsidP="00D27171">
            <w:pPr>
              <w:spacing w:after="0"/>
              <w:jc w:val="right"/>
              <w:rPr>
                <w:rFonts w:ascii="Arial" w:hAnsi="Arial" w:cs="Arial"/>
                <w:b/>
                <w:sz w:val="20"/>
                <w:szCs w:val="20"/>
              </w:rPr>
            </w:pPr>
            <w:r>
              <w:rPr>
                <w:rFonts w:ascii="Arial" w:hAnsi="Arial" w:cs="Arial"/>
                <w:b/>
                <w:sz w:val="20"/>
                <w:szCs w:val="20"/>
              </w:rPr>
              <w:t>4.629</w:t>
            </w:r>
          </w:p>
        </w:tc>
      </w:tr>
      <w:tr w:rsidR="009B34F5" w:rsidRPr="003234C5" w14:paraId="701B5E17" w14:textId="77777777" w:rsidTr="00E82897">
        <w:tblPrEx>
          <w:tblCellMar>
            <w:left w:w="70" w:type="dxa"/>
            <w:right w:w="70" w:type="dxa"/>
          </w:tblCellMar>
        </w:tblPrEx>
        <w:trPr>
          <w:trHeight w:val="170"/>
        </w:trPr>
        <w:tc>
          <w:tcPr>
            <w:tcW w:w="5002" w:type="dxa"/>
            <w:shd w:val="clear" w:color="auto" w:fill="FFFFFF"/>
            <w:vAlign w:val="bottom"/>
          </w:tcPr>
          <w:p w14:paraId="168075C3"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     Depósitos Judiciais</w:t>
            </w:r>
          </w:p>
        </w:tc>
        <w:tc>
          <w:tcPr>
            <w:tcW w:w="2035" w:type="dxa"/>
            <w:shd w:val="clear" w:color="auto" w:fill="FFFFFF"/>
            <w:vAlign w:val="center"/>
          </w:tcPr>
          <w:p w14:paraId="5932879D" w14:textId="1995F191" w:rsidR="00D27171" w:rsidRPr="003234C5" w:rsidRDefault="000F6D34" w:rsidP="00D27171">
            <w:pPr>
              <w:spacing w:after="0"/>
              <w:jc w:val="right"/>
              <w:rPr>
                <w:rFonts w:ascii="Arial" w:hAnsi="Arial" w:cs="Arial"/>
                <w:sz w:val="20"/>
                <w:szCs w:val="20"/>
              </w:rPr>
            </w:pPr>
            <w:r>
              <w:rPr>
                <w:rFonts w:ascii="Arial" w:hAnsi="Arial" w:cs="Arial"/>
                <w:sz w:val="20"/>
                <w:szCs w:val="20"/>
              </w:rPr>
              <w:t>4.514</w:t>
            </w:r>
          </w:p>
        </w:tc>
        <w:tc>
          <w:tcPr>
            <w:tcW w:w="2035" w:type="dxa"/>
            <w:shd w:val="clear" w:color="auto" w:fill="FFFFFF"/>
            <w:vAlign w:val="center"/>
          </w:tcPr>
          <w:p w14:paraId="028980B5" w14:textId="32FD8CA4" w:rsidR="00D27171" w:rsidRPr="003234C5" w:rsidRDefault="00656269" w:rsidP="00D27171">
            <w:pPr>
              <w:spacing w:after="0"/>
              <w:jc w:val="right"/>
              <w:rPr>
                <w:rFonts w:ascii="Arial" w:hAnsi="Arial" w:cs="Arial"/>
                <w:sz w:val="20"/>
                <w:szCs w:val="20"/>
              </w:rPr>
            </w:pPr>
            <w:r>
              <w:rPr>
                <w:rFonts w:ascii="Arial" w:hAnsi="Arial" w:cs="Arial"/>
                <w:sz w:val="20"/>
                <w:szCs w:val="20"/>
              </w:rPr>
              <w:t>4.244</w:t>
            </w:r>
          </w:p>
        </w:tc>
      </w:tr>
      <w:tr w:rsidR="009B34F5" w:rsidRPr="003234C5" w14:paraId="318AF7CE" w14:textId="77777777" w:rsidTr="00E82897">
        <w:trPr>
          <w:trHeight w:val="170"/>
        </w:trPr>
        <w:tc>
          <w:tcPr>
            <w:tcW w:w="5002" w:type="dxa"/>
            <w:shd w:val="clear" w:color="auto" w:fill="FFFFFF"/>
            <w:vAlign w:val="bottom"/>
          </w:tcPr>
          <w:p w14:paraId="64F59D5B"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     Multas Indedutíveis</w:t>
            </w:r>
          </w:p>
        </w:tc>
        <w:tc>
          <w:tcPr>
            <w:tcW w:w="2035" w:type="dxa"/>
            <w:shd w:val="clear" w:color="auto" w:fill="FFFFFF"/>
            <w:vAlign w:val="center"/>
          </w:tcPr>
          <w:p w14:paraId="3DA28659" w14:textId="75D81E91" w:rsidR="00D27171" w:rsidRPr="003234C5" w:rsidRDefault="00996DED" w:rsidP="00D27171">
            <w:pPr>
              <w:spacing w:after="0"/>
              <w:jc w:val="right"/>
              <w:rPr>
                <w:rFonts w:ascii="Arial" w:hAnsi="Arial" w:cs="Arial"/>
                <w:sz w:val="20"/>
                <w:szCs w:val="20"/>
              </w:rPr>
            </w:pPr>
            <w:r>
              <w:rPr>
                <w:rFonts w:ascii="Arial" w:hAnsi="Arial" w:cs="Arial"/>
                <w:sz w:val="20"/>
                <w:szCs w:val="20"/>
              </w:rPr>
              <w:t>230</w:t>
            </w:r>
          </w:p>
        </w:tc>
        <w:tc>
          <w:tcPr>
            <w:tcW w:w="2035" w:type="dxa"/>
            <w:shd w:val="clear" w:color="auto" w:fill="FFFFFF"/>
            <w:vAlign w:val="center"/>
          </w:tcPr>
          <w:p w14:paraId="1F08D974" w14:textId="162A0D0B" w:rsidR="00D27171" w:rsidRPr="003234C5" w:rsidRDefault="001A2CCE" w:rsidP="00D27171">
            <w:pPr>
              <w:spacing w:after="0"/>
              <w:jc w:val="right"/>
              <w:rPr>
                <w:rFonts w:ascii="Arial" w:hAnsi="Arial" w:cs="Arial"/>
                <w:sz w:val="20"/>
                <w:szCs w:val="20"/>
              </w:rPr>
            </w:pPr>
            <w:r>
              <w:rPr>
                <w:rFonts w:ascii="Arial" w:hAnsi="Arial" w:cs="Arial"/>
                <w:sz w:val="20"/>
                <w:szCs w:val="20"/>
              </w:rPr>
              <w:t>4</w:t>
            </w:r>
          </w:p>
        </w:tc>
      </w:tr>
      <w:tr w:rsidR="009B34F5" w:rsidRPr="003234C5" w14:paraId="78777CA1" w14:textId="77777777" w:rsidTr="00E82897">
        <w:trPr>
          <w:trHeight w:val="170"/>
        </w:trPr>
        <w:tc>
          <w:tcPr>
            <w:tcW w:w="5002" w:type="dxa"/>
            <w:shd w:val="clear" w:color="auto" w:fill="FFFFFF"/>
            <w:vAlign w:val="bottom"/>
          </w:tcPr>
          <w:p w14:paraId="3B516A4F" w14:textId="42A12BFD"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     Incentivos fiscais Lei Rouanet</w:t>
            </w:r>
            <w:r w:rsidR="00D213D5">
              <w:rPr>
                <w:rFonts w:ascii="Arial" w:hAnsi="Arial" w:cs="Arial"/>
                <w:bCs/>
                <w:sz w:val="20"/>
                <w:szCs w:val="20"/>
              </w:rPr>
              <w:t xml:space="preserve"> / Desportiva/ FDCA/                  Fundo do Idoso/ Produção Cinematográfica </w:t>
            </w:r>
          </w:p>
        </w:tc>
        <w:tc>
          <w:tcPr>
            <w:tcW w:w="2035" w:type="dxa"/>
            <w:shd w:val="clear" w:color="auto" w:fill="FFFFFF"/>
            <w:vAlign w:val="center"/>
          </w:tcPr>
          <w:p w14:paraId="3D6835B0" w14:textId="3F347C77" w:rsidR="00D27171" w:rsidRPr="003234C5" w:rsidRDefault="00D213D5" w:rsidP="00D213D5">
            <w:pPr>
              <w:spacing w:after="0"/>
              <w:jc w:val="right"/>
              <w:rPr>
                <w:rFonts w:ascii="Arial" w:hAnsi="Arial" w:cs="Arial"/>
                <w:sz w:val="20"/>
                <w:szCs w:val="20"/>
              </w:rPr>
            </w:pPr>
            <w:r>
              <w:rPr>
                <w:rFonts w:ascii="Arial" w:hAnsi="Arial" w:cs="Arial"/>
                <w:sz w:val="20"/>
                <w:szCs w:val="20"/>
              </w:rPr>
              <w:t>634</w:t>
            </w:r>
          </w:p>
        </w:tc>
        <w:tc>
          <w:tcPr>
            <w:tcW w:w="2035" w:type="dxa"/>
            <w:shd w:val="clear" w:color="auto" w:fill="FFFFFF"/>
            <w:vAlign w:val="center"/>
          </w:tcPr>
          <w:p w14:paraId="61E0645F" w14:textId="383685F7" w:rsidR="00D27171" w:rsidRPr="003234C5" w:rsidRDefault="001A2CCE" w:rsidP="00D27171">
            <w:pPr>
              <w:spacing w:after="0"/>
              <w:jc w:val="right"/>
              <w:rPr>
                <w:rFonts w:ascii="Arial" w:hAnsi="Arial" w:cs="Arial"/>
                <w:sz w:val="20"/>
                <w:szCs w:val="20"/>
              </w:rPr>
            </w:pPr>
            <w:r>
              <w:rPr>
                <w:rFonts w:ascii="Arial" w:hAnsi="Arial" w:cs="Arial"/>
                <w:sz w:val="20"/>
                <w:szCs w:val="20"/>
              </w:rPr>
              <w:t>50</w:t>
            </w:r>
          </w:p>
        </w:tc>
      </w:tr>
      <w:tr w:rsidR="009B34F5" w:rsidRPr="003234C5" w14:paraId="50665BBD" w14:textId="77777777" w:rsidTr="00E82897">
        <w:trPr>
          <w:trHeight w:val="170"/>
        </w:trPr>
        <w:tc>
          <w:tcPr>
            <w:tcW w:w="5002" w:type="dxa"/>
            <w:shd w:val="clear" w:color="auto" w:fill="FFFFFF"/>
            <w:vAlign w:val="bottom"/>
          </w:tcPr>
          <w:p w14:paraId="4FA4E6E4" w14:textId="24176D85" w:rsidR="008E2FA1" w:rsidRPr="003234C5" w:rsidRDefault="008E2FA1" w:rsidP="00D27171">
            <w:pPr>
              <w:spacing w:after="0"/>
              <w:jc w:val="both"/>
              <w:rPr>
                <w:rFonts w:ascii="Arial" w:hAnsi="Arial" w:cs="Arial"/>
                <w:bCs/>
                <w:sz w:val="20"/>
                <w:szCs w:val="20"/>
              </w:rPr>
            </w:pPr>
            <w:r>
              <w:rPr>
                <w:rFonts w:ascii="Arial" w:hAnsi="Arial" w:cs="Arial"/>
                <w:bCs/>
                <w:sz w:val="20"/>
                <w:szCs w:val="20"/>
              </w:rPr>
              <w:t xml:space="preserve">     Doações Indedutíveis</w:t>
            </w:r>
          </w:p>
        </w:tc>
        <w:tc>
          <w:tcPr>
            <w:tcW w:w="2035" w:type="dxa"/>
            <w:shd w:val="clear" w:color="auto" w:fill="FFFFFF"/>
            <w:vAlign w:val="center"/>
          </w:tcPr>
          <w:p w14:paraId="043A869C" w14:textId="67A9A6D1" w:rsidR="008E2FA1" w:rsidRPr="003234C5" w:rsidRDefault="005179C1" w:rsidP="00D27171">
            <w:pPr>
              <w:spacing w:after="0"/>
              <w:jc w:val="right"/>
              <w:rPr>
                <w:rFonts w:ascii="Arial" w:hAnsi="Arial" w:cs="Arial"/>
                <w:color w:val="000000"/>
                <w:sz w:val="20"/>
                <w:szCs w:val="20"/>
              </w:rPr>
            </w:pPr>
            <w:r>
              <w:rPr>
                <w:rFonts w:ascii="Arial" w:hAnsi="Arial" w:cs="Arial"/>
                <w:color w:val="000000"/>
                <w:sz w:val="20"/>
                <w:szCs w:val="20"/>
              </w:rPr>
              <w:t>-</w:t>
            </w:r>
          </w:p>
        </w:tc>
        <w:tc>
          <w:tcPr>
            <w:tcW w:w="2035" w:type="dxa"/>
            <w:shd w:val="clear" w:color="auto" w:fill="FFFFFF"/>
            <w:vAlign w:val="center"/>
          </w:tcPr>
          <w:p w14:paraId="544AB09D" w14:textId="3AA7E7FE" w:rsidR="008E2FA1" w:rsidRDefault="003167B8" w:rsidP="00D27171">
            <w:pPr>
              <w:spacing w:after="0"/>
              <w:jc w:val="right"/>
              <w:rPr>
                <w:rFonts w:ascii="Arial" w:hAnsi="Arial" w:cs="Arial"/>
                <w:color w:val="000000"/>
                <w:sz w:val="20"/>
                <w:szCs w:val="20"/>
              </w:rPr>
            </w:pPr>
            <w:r>
              <w:rPr>
                <w:rFonts w:ascii="Arial" w:hAnsi="Arial" w:cs="Arial"/>
                <w:color w:val="000000"/>
                <w:sz w:val="20"/>
                <w:szCs w:val="20"/>
              </w:rPr>
              <w:t>50</w:t>
            </w:r>
          </w:p>
        </w:tc>
      </w:tr>
      <w:tr w:rsidR="009B34F5" w:rsidRPr="003234C5" w14:paraId="05B4ADBB" w14:textId="77777777" w:rsidTr="00E82897">
        <w:trPr>
          <w:trHeight w:val="170"/>
        </w:trPr>
        <w:tc>
          <w:tcPr>
            <w:tcW w:w="5002" w:type="dxa"/>
            <w:shd w:val="clear" w:color="auto" w:fill="FFFFFF"/>
            <w:vAlign w:val="bottom"/>
          </w:tcPr>
          <w:p w14:paraId="77E7665D"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     Provisão para contingências trabalhistas</w:t>
            </w:r>
          </w:p>
        </w:tc>
        <w:tc>
          <w:tcPr>
            <w:tcW w:w="2035" w:type="dxa"/>
            <w:shd w:val="clear" w:color="auto" w:fill="FFFFFF"/>
            <w:vAlign w:val="center"/>
          </w:tcPr>
          <w:p w14:paraId="034F01F6" w14:textId="50B585B9" w:rsidR="00D27171" w:rsidRPr="003234C5" w:rsidRDefault="00EC1F5D" w:rsidP="00D27171">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7</w:t>
            </w:r>
          </w:p>
        </w:tc>
        <w:tc>
          <w:tcPr>
            <w:tcW w:w="2035" w:type="dxa"/>
            <w:shd w:val="clear" w:color="auto" w:fill="FFFFFF"/>
            <w:vAlign w:val="center"/>
          </w:tcPr>
          <w:p w14:paraId="090AFDBB" w14:textId="033B4D70" w:rsidR="00D27171" w:rsidRPr="003234C5" w:rsidRDefault="00FF1FC2" w:rsidP="00D27171">
            <w:pPr>
              <w:spacing w:after="0"/>
              <w:jc w:val="right"/>
              <w:rPr>
                <w:rFonts w:ascii="Arial" w:hAnsi="Arial" w:cs="Arial"/>
                <w:sz w:val="20"/>
                <w:szCs w:val="20"/>
              </w:rPr>
            </w:pPr>
            <w:r>
              <w:rPr>
                <w:rFonts w:ascii="Arial" w:hAnsi="Arial" w:cs="Arial"/>
                <w:sz w:val="20"/>
                <w:szCs w:val="20"/>
              </w:rPr>
              <w:t>221</w:t>
            </w:r>
          </w:p>
        </w:tc>
      </w:tr>
      <w:tr w:rsidR="009B34F5" w:rsidRPr="003234C5" w14:paraId="2369920D" w14:textId="77777777" w:rsidTr="00E82897">
        <w:trPr>
          <w:trHeight w:val="170"/>
        </w:trPr>
        <w:tc>
          <w:tcPr>
            <w:tcW w:w="5002" w:type="dxa"/>
            <w:shd w:val="clear" w:color="auto" w:fill="FFFFFF"/>
            <w:vAlign w:val="bottom"/>
          </w:tcPr>
          <w:p w14:paraId="70CA1D59" w14:textId="0C0DA9BA"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     Programa emp. Cidadã - Sal. </w:t>
            </w:r>
            <w:proofErr w:type="spellStart"/>
            <w:r w:rsidRPr="003234C5">
              <w:rPr>
                <w:rFonts w:ascii="Arial" w:hAnsi="Arial" w:cs="Arial"/>
                <w:bCs/>
                <w:sz w:val="20"/>
                <w:szCs w:val="20"/>
              </w:rPr>
              <w:t>Matern</w:t>
            </w:r>
            <w:proofErr w:type="spellEnd"/>
            <w:r w:rsidRPr="003234C5">
              <w:rPr>
                <w:rFonts w:ascii="Arial" w:hAnsi="Arial" w:cs="Arial"/>
                <w:bCs/>
                <w:sz w:val="20"/>
                <w:szCs w:val="20"/>
              </w:rPr>
              <w:t xml:space="preserve"> 60 dias</w:t>
            </w:r>
          </w:p>
        </w:tc>
        <w:tc>
          <w:tcPr>
            <w:tcW w:w="2035" w:type="dxa"/>
            <w:shd w:val="clear" w:color="auto" w:fill="FFFFFF"/>
            <w:vAlign w:val="center"/>
          </w:tcPr>
          <w:p w14:paraId="14D4CB28" w14:textId="1CCD0118" w:rsidR="00D27171" w:rsidRPr="003234C5" w:rsidRDefault="00EC1F5D" w:rsidP="00D27171">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25</w:t>
            </w:r>
          </w:p>
        </w:tc>
        <w:tc>
          <w:tcPr>
            <w:tcW w:w="2035" w:type="dxa"/>
            <w:shd w:val="clear" w:color="auto" w:fill="FFFFFF"/>
            <w:vAlign w:val="center"/>
          </w:tcPr>
          <w:p w14:paraId="42827FB1" w14:textId="0371F1BB" w:rsidR="00D27171" w:rsidRPr="003234C5" w:rsidRDefault="006858C7" w:rsidP="00D27171">
            <w:pPr>
              <w:spacing w:after="0"/>
              <w:jc w:val="right"/>
              <w:rPr>
                <w:rFonts w:ascii="Arial" w:hAnsi="Arial" w:cs="Arial"/>
                <w:sz w:val="20"/>
                <w:szCs w:val="20"/>
              </w:rPr>
            </w:pPr>
            <w:r>
              <w:rPr>
                <w:rFonts w:ascii="Arial" w:hAnsi="Arial" w:cs="Arial"/>
                <w:sz w:val="20"/>
                <w:szCs w:val="20"/>
              </w:rPr>
              <w:t>19</w:t>
            </w:r>
          </w:p>
        </w:tc>
      </w:tr>
      <w:tr w:rsidR="009B34F5" w:rsidRPr="003234C5" w14:paraId="37ED4796" w14:textId="77777777" w:rsidTr="00E82897">
        <w:trPr>
          <w:trHeight w:val="170"/>
        </w:trPr>
        <w:tc>
          <w:tcPr>
            <w:tcW w:w="5002" w:type="dxa"/>
            <w:shd w:val="clear" w:color="auto" w:fill="FFFFFF"/>
            <w:vAlign w:val="bottom"/>
          </w:tcPr>
          <w:p w14:paraId="37DBD13E" w14:textId="1389F5B2"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     Despesa Financeira e Amortização IFRS 16</w:t>
            </w:r>
          </w:p>
        </w:tc>
        <w:tc>
          <w:tcPr>
            <w:tcW w:w="2035" w:type="dxa"/>
            <w:shd w:val="clear" w:color="auto" w:fill="FFFFFF"/>
            <w:vAlign w:val="center"/>
          </w:tcPr>
          <w:p w14:paraId="06F71710" w14:textId="3D6CBACB" w:rsidR="00D27171" w:rsidRPr="003234C5" w:rsidRDefault="00BE6EFB" w:rsidP="00D27171">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2.687</w:t>
            </w:r>
          </w:p>
        </w:tc>
        <w:tc>
          <w:tcPr>
            <w:tcW w:w="2035" w:type="dxa"/>
            <w:shd w:val="clear" w:color="auto" w:fill="FFFFFF"/>
            <w:vAlign w:val="center"/>
          </w:tcPr>
          <w:p w14:paraId="503C64A1" w14:textId="1EEB8089" w:rsidR="00D27171" w:rsidRPr="003234C5" w:rsidRDefault="00E50723" w:rsidP="00D27171">
            <w:pPr>
              <w:spacing w:after="0"/>
              <w:jc w:val="right"/>
              <w:rPr>
                <w:rFonts w:ascii="Arial" w:hAnsi="Arial" w:cs="Arial"/>
                <w:color w:val="000000"/>
                <w:sz w:val="20"/>
                <w:szCs w:val="20"/>
              </w:rPr>
            </w:pPr>
            <w:r>
              <w:rPr>
                <w:rFonts w:ascii="Arial" w:hAnsi="Arial" w:cs="Arial"/>
                <w:color w:val="000000"/>
                <w:sz w:val="20"/>
                <w:szCs w:val="20"/>
              </w:rPr>
              <w:t>-</w:t>
            </w:r>
          </w:p>
        </w:tc>
      </w:tr>
      <w:tr w:rsidR="00897631" w:rsidRPr="003234C5" w14:paraId="5FCCED96" w14:textId="77777777" w:rsidTr="00E82897">
        <w:trPr>
          <w:trHeight w:val="170"/>
        </w:trPr>
        <w:tc>
          <w:tcPr>
            <w:tcW w:w="5002" w:type="dxa"/>
            <w:shd w:val="clear" w:color="auto" w:fill="FFFFFF"/>
            <w:vAlign w:val="bottom"/>
          </w:tcPr>
          <w:p w14:paraId="3D4A1986" w14:textId="330EC821" w:rsidR="00897631" w:rsidRDefault="00F55384" w:rsidP="00D27171">
            <w:pPr>
              <w:spacing w:after="0"/>
              <w:jc w:val="both"/>
              <w:rPr>
                <w:rFonts w:ascii="Arial" w:hAnsi="Arial" w:cs="Arial"/>
                <w:bCs/>
                <w:sz w:val="20"/>
                <w:szCs w:val="20"/>
              </w:rPr>
            </w:pPr>
            <w:r>
              <w:rPr>
                <w:rFonts w:ascii="Arial" w:hAnsi="Arial" w:cs="Arial"/>
                <w:bCs/>
                <w:sz w:val="20"/>
                <w:szCs w:val="20"/>
              </w:rPr>
              <w:t xml:space="preserve">     Reversão PCLD gerencial </w:t>
            </w:r>
          </w:p>
        </w:tc>
        <w:tc>
          <w:tcPr>
            <w:tcW w:w="2035" w:type="dxa"/>
            <w:shd w:val="clear" w:color="auto" w:fill="FFFFFF"/>
            <w:vAlign w:val="center"/>
          </w:tcPr>
          <w:p w14:paraId="5EC1EEC3" w14:textId="7341B4CD" w:rsidR="00897631" w:rsidRDefault="00F55384" w:rsidP="00D27171">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102</w:t>
            </w:r>
          </w:p>
        </w:tc>
        <w:tc>
          <w:tcPr>
            <w:tcW w:w="2035" w:type="dxa"/>
            <w:shd w:val="clear" w:color="auto" w:fill="FFFFFF"/>
            <w:vAlign w:val="center"/>
          </w:tcPr>
          <w:p w14:paraId="50F19AD0" w14:textId="3AC21149" w:rsidR="00897631" w:rsidRDefault="00F55384" w:rsidP="00D27171">
            <w:pPr>
              <w:spacing w:after="0"/>
              <w:jc w:val="right"/>
              <w:rPr>
                <w:rFonts w:ascii="Arial" w:hAnsi="Arial" w:cs="Arial"/>
                <w:color w:val="000000"/>
                <w:sz w:val="20"/>
                <w:szCs w:val="20"/>
              </w:rPr>
            </w:pPr>
            <w:r>
              <w:rPr>
                <w:rFonts w:ascii="Arial" w:hAnsi="Arial" w:cs="Arial"/>
                <w:color w:val="000000"/>
                <w:sz w:val="20"/>
                <w:szCs w:val="20"/>
              </w:rPr>
              <w:t>-</w:t>
            </w:r>
          </w:p>
        </w:tc>
      </w:tr>
      <w:tr w:rsidR="009B34F5" w:rsidRPr="003234C5" w14:paraId="5CBF2E6C" w14:textId="77777777" w:rsidTr="00E82897">
        <w:trPr>
          <w:trHeight w:val="170"/>
        </w:trPr>
        <w:tc>
          <w:tcPr>
            <w:tcW w:w="5002" w:type="dxa"/>
            <w:shd w:val="clear" w:color="auto" w:fill="FFFFFF"/>
            <w:vAlign w:val="bottom"/>
          </w:tcPr>
          <w:p w14:paraId="7F798B47"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     Outras</w:t>
            </w:r>
          </w:p>
        </w:tc>
        <w:tc>
          <w:tcPr>
            <w:tcW w:w="2035" w:type="dxa"/>
            <w:shd w:val="clear" w:color="auto" w:fill="FFFFFF"/>
            <w:vAlign w:val="center"/>
          </w:tcPr>
          <w:p w14:paraId="74E1281E" w14:textId="69973DC6" w:rsidR="00D27171" w:rsidRPr="003234C5" w:rsidRDefault="00C04690" w:rsidP="00D27171">
            <w:pPr>
              <w:suppressAutoHyphens w:val="0"/>
              <w:spacing w:after="0" w:line="240" w:lineRule="auto"/>
              <w:jc w:val="right"/>
              <w:rPr>
                <w:rFonts w:ascii="Arial" w:hAnsi="Arial" w:cs="Arial"/>
                <w:sz w:val="20"/>
                <w:szCs w:val="20"/>
              </w:rPr>
            </w:pPr>
            <w:r>
              <w:rPr>
                <w:rFonts w:ascii="Arial" w:hAnsi="Arial" w:cs="Arial"/>
                <w:sz w:val="20"/>
                <w:szCs w:val="20"/>
              </w:rPr>
              <w:t>40</w:t>
            </w:r>
          </w:p>
        </w:tc>
        <w:tc>
          <w:tcPr>
            <w:tcW w:w="2035" w:type="dxa"/>
            <w:shd w:val="clear" w:color="auto" w:fill="FFFFFF"/>
            <w:vAlign w:val="center"/>
          </w:tcPr>
          <w:p w14:paraId="7CCCED79" w14:textId="2EDE5AFB" w:rsidR="00D27171" w:rsidRPr="003234C5" w:rsidRDefault="00267C0C" w:rsidP="00D27171">
            <w:pPr>
              <w:spacing w:after="0"/>
              <w:jc w:val="right"/>
              <w:rPr>
                <w:rFonts w:ascii="Arial" w:hAnsi="Arial" w:cs="Arial"/>
                <w:sz w:val="20"/>
                <w:szCs w:val="20"/>
              </w:rPr>
            </w:pPr>
            <w:r>
              <w:rPr>
                <w:rFonts w:ascii="Arial" w:hAnsi="Arial" w:cs="Arial"/>
                <w:sz w:val="20"/>
                <w:szCs w:val="20"/>
              </w:rPr>
              <w:t>41</w:t>
            </w:r>
          </w:p>
        </w:tc>
      </w:tr>
      <w:tr w:rsidR="009B34F5" w:rsidRPr="003234C5" w14:paraId="375E65A5" w14:textId="77777777" w:rsidTr="00E82897">
        <w:trPr>
          <w:trHeight w:val="170"/>
        </w:trPr>
        <w:tc>
          <w:tcPr>
            <w:tcW w:w="5002" w:type="dxa"/>
            <w:shd w:val="clear" w:color="auto" w:fill="FFFFFF"/>
            <w:vAlign w:val="bottom"/>
          </w:tcPr>
          <w:p w14:paraId="2D64BBA1" w14:textId="77777777" w:rsidR="00D27171" w:rsidRPr="003234C5" w:rsidRDefault="00D27171" w:rsidP="00D27171">
            <w:pPr>
              <w:spacing w:after="0"/>
              <w:jc w:val="both"/>
              <w:rPr>
                <w:rFonts w:ascii="Arial" w:hAnsi="Arial" w:cs="Arial"/>
                <w:b/>
                <w:bCs/>
                <w:sz w:val="20"/>
                <w:szCs w:val="20"/>
              </w:rPr>
            </w:pPr>
            <w:r w:rsidRPr="003234C5">
              <w:rPr>
                <w:rFonts w:ascii="Arial" w:hAnsi="Arial" w:cs="Arial"/>
                <w:b/>
                <w:bCs/>
                <w:sz w:val="20"/>
                <w:szCs w:val="20"/>
              </w:rPr>
              <w:t>(-) Exclusões</w:t>
            </w:r>
          </w:p>
        </w:tc>
        <w:tc>
          <w:tcPr>
            <w:tcW w:w="2035" w:type="dxa"/>
            <w:shd w:val="clear" w:color="auto" w:fill="FFFFFF"/>
            <w:vAlign w:val="center"/>
          </w:tcPr>
          <w:p w14:paraId="0C7ED387" w14:textId="6BFDC80E" w:rsidR="00D27171" w:rsidRPr="003234C5" w:rsidRDefault="00CC5DAD" w:rsidP="00D27171">
            <w:pPr>
              <w:spacing w:after="0"/>
              <w:jc w:val="right"/>
              <w:rPr>
                <w:rFonts w:ascii="Arial" w:hAnsi="Arial" w:cs="Arial"/>
                <w:b/>
                <w:sz w:val="20"/>
                <w:szCs w:val="20"/>
              </w:rPr>
            </w:pPr>
            <w:r>
              <w:rPr>
                <w:rFonts w:ascii="Arial" w:hAnsi="Arial" w:cs="Arial"/>
                <w:b/>
                <w:sz w:val="20"/>
                <w:szCs w:val="20"/>
              </w:rPr>
              <w:t>(2.378)</w:t>
            </w:r>
          </w:p>
        </w:tc>
        <w:tc>
          <w:tcPr>
            <w:tcW w:w="2035" w:type="dxa"/>
            <w:shd w:val="clear" w:color="auto" w:fill="FFFFFF"/>
            <w:vAlign w:val="center"/>
          </w:tcPr>
          <w:p w14:paraId="788592D1" w14:textId="61FC162C" w:rsidR="00D27171" w:rsidRPr="003234C5" w:rsidRDefault="00E50723" w:rsidP="00D27171">
            <w:pPr>
              <w:spacing w:after="0"/>
              <w:jc w:val="right"/>
              <w:rPr>
                <w:rFonts w:ascii="Arial" w:hAnsi="Arial" w:cs="Arial"/>
                <w:b/>
                <w:sz w:val="20"/>
                <w:szCs w:val="20"/>
              </w:rPr>
            </w:pPr>
            <w:r>
              <w:rPr>
                <w:rFonts w:ascii="Arial" w:hAnsi="Arial" w:cs="Arial"/>
                <w:b/>
                <w:sz w:val="20"/>
                <w:szCs w:val="20"/>
              </w:rPr>
              <w:t>(149)</w:t>
            </w:r>
          </w:p>
        </w:tc>
      </w:tr>
      <w:tr w:rsidR="009B34F5" w:rsidRPr="003234C5" w14:paraId="487244E8" w14:textId="77777777" w:rsidTr="00E82897">
        <w:trPr>
          <w:trHeight w:val="170"/>
        </w:trPr>
        <w:tc>
          <w:tcPr>
            <w:tcW w:w="5002" w:type="dxa"/>
            <w:shd w:val="clear" w:color="auto" w:fill="FFFFFF"/>
            <w:vAlign w:val="bottom"/>
          </w:tcPr>
          <w:p w14:paraId="3B6E3F63"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lastRenderedPageBreak/>
              <w:t xml:space="preserve">     Reversão de provisões não dedutíveis</w:t>
            </w:r>
          </w:p>
        </w:tc>
        <w:tc>
          <w:tcPr>
            <w:tcW w:w="2035" w:type="dxa"/>
            <w:shd w:val="clear" w:color="auto" w:fill="FFFFFF"/>
            <w:vAlign w:val="center"/>
          </w:tcPr>
          <w:p w14:paraId="0F8287A5" w14:textId="7C573ED2" w:rsidR="00D27171" w:rsidRPr="003234C5" w:rsidRDefault="003A3EBC" w:rsidP="00D27171">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(111)</w:t>
            </w:r>
          </w:p>
        </w:tc>
        <w:tc>
          <w:tcPr>
            <w:tcW w:w="2035" w:type="dxa"/>
            <w:shd w:val="clear" w:color="auto" w:fill="FFFFFF"/>
            <w:vAlign w:val="center"/>
          </w:tcPr>
          <w:p w14:paraId="1D9A6DC8" w14:textId="1AD38A57" w:rsidR="00D27171" w:rsidRPr="003234C5" w:rsidRDefault="00CF582D" w:rsidP="00D27171">
            <w:pPr>
              <w:spacing w:after="0"/>
              <w:jc w:val="right"/>
              <w:rPr>
                <w:rFonts w:ascii="Arial" w:hAnsi="Arial" w:cs="Arial"/>
                <w:bCs/>
                <w:sz w:val="20"/>
                <w:szCs w:val="20"/>
              </w:rPr>
            </w:pPr>
            <w:r>
              <w:rPr>
                <w:rFonts w:ascii="Arial" w:hAnsi="Arial" w:cs="Arial"/>
                <w:bCs/>
                <w:sz w:val="20"/>
                <w:szCs w:val="20"/>
              </w:rPr>
              <w:t>(149)</w:t>
            </w:r>
          </w:p>
        </w:tc>
      </w:tr>
      <w:tr w:rsidR="009B34F5" w:rsidRPr="003234C5" w14:paraId="18D590E8" w14:textId="77777777" w:rsidTr="00E82897">
        <w:trPr>
          <w:trHeight w:val="170"/>
        </w:trPr>
        <w:tc>
          <w:tcPr>
            <w:tcW w:w="5002" w:type="dxa"/>
            <w:shd w:val="clear" w:color="auto" w:fill="FFFFFF"/>
            <w:vAlign w:val="bottom"/>
          </w:tcPr>
          <w:p w14:paraId="4DFC608C" w14:textId="4986D218" w:rsidR="00D27171" w:rsidRPr="003234C5" w:rsidRDefault="00D27171" w:rsidP="00D27171">
            <w:pPr>
              <w:suppressAutoHyphens w:val="0"/>
              <w:spacing w:after="0" w:line="240" w:lineRule="auto"/>
              <w:jc w:val="both"/>
              <w:rPr>
                <w:rFonts w:ascii="Arial" w:eastAsia="Times New Roman" w:hAnsi="Arial" w:cs="Arial"/>
                <w:color w:val="000000"/>
                <w:kern w:val="0"/>
                <w:sz w:val="20"/>
                <w:szCs w:val="20"/>
                <w:lang w:eastAsia="pt-BR"/>
              </w:rPr>
            </w:pPr>
            <w:r w:rsidRPr="003234C5">
              <w:rPr>
                <w:rFonts w:ascii="Arial" w:hAnsi="Arial" w:cs="Arial"/>
                <w:color w:val="000000"/>
                <w:sz w:val="20"/>
                <w:szCs w:val="20"/>
              </w:rPr>
              <w:t xml:space="preserve">     Reversão de aluguéis IFRS 16</w:t>
            </w:r>
          </w:p>
        </w:tc>
        <w:tc>
          <w:tcPr>
            <w:tcW w:w="2035" w:type="dxa"/>
            <w:shd w:val="clear" w:color="auto" w:fill="FFFFFF"/>
            <w:vAlign w:val="center"/>
          </w:tcPr>
          <w:p w14:paraId="6610BB37" w14:textId="5CB54DFA" w:rsidR="00D27171" w:rsidRPr="00972AB9" w:rsidRDefault="00972AB9" w:rsidP="00D27171">
            <w:pPr>
              <w:autoSpaceDE w:val="0"/>
              <w:autoSpaceDN w:val="0"/>
              <w:adjustRightInd w:val="0"/>
              <w:spacing w:after="0"/>
              <w:jc w:val="right"/>
              <w:rPr>
                <w:rFonts w:ascii="Arial" w:hAnsi="Arial" w:cs="Arial"/>
                <w:color w:val="000000"/>
                <w:sz w:val="20"/>
                <w:szCs w:val="20"/>
              </w:rPr>
            </w:pPr>
            <w:r w:rsidRPr="00972AB9">
              <w:rPr>
                <w:rFonts w:ascii="Arial" w:hAnsi="Arial" w:cs="Arial"/>
                <w:color w:val="000000"/>
                <w:sz w:val="20"/>
                <w:szCs w:val="20"/>
              </w:rPr>
              <w:t>(2.267)</w:t>
            </w:r>
          </w:p>
        </w:tc>
        <w:tc>
          <w:tcPr>
            <w:tcW w:w="2035" w:type="dxa"/>
            <w:shd w:val="clear" w:color="auto" w:fill="FFFFFF"/>
            <w:vAlign w:val="center"/>
          </w:tcPr>
          <w:p w14:paraId="2AEB1D73" w14:textId="05E81196" w:rsidR="00D27171" w:rsidRPr="003234C5" w:rsidRDefault="008A66C9" w:rsidP="00D27171">
            <w:pPr>
              <w:autoSpaceDE w:val="0"/>
              <w:autoSpaceDN w:val="0"/>
              <w:adjustRightInd w:val="0"/>
              <w:spacing w:after="0"/>
              <w:jc w:val="right"/>
              <w:rPr>
                <w:rFonts w:ascii="Arial" w:hAnsi="Arial" w:cs="Arial"/>
                <w:b/>
                <w:bCs/>
                <w:color w:val="000000"/>
                <w:sz w:val="20"/>
                <w:szCs w:val="20"/>
              </w:rPr>
            </w:pPr>
            <w:r>
              <w:rPr>
                <w:rFonts w:ascii="Arial" w:hAnsi="Arial" w:cs="Arial"/>
                <w:b/>
                <w:bCs/>
                <w:color w:val="000000"/>
                <w:sz w:val="20"/>
                <w:szCs w:val="20"/>
              </w:rPr>
              <w:t>-</w:t>
            </w:r>
          </w:p>
        </w:tc>
      </w:tr>
      <w:tr w:rsidR="009B34F5" w:rsidRPr="003234C5" w14:paraId="45F83D6A" w14:textId="77777777" w:rsidTr="00E82897">
        <w:trPr>
          <w:trHeight w:val="170"/>
        </w:trPr>
        <w:tc>
          <w:tcPr>
            <w:tcW w:w="5002" w:type="dxa"/>
            <w:shd w:val="clear" w:color="auto" w:fill="FFFFFF"/>
            <w:vAlign w:val="bottom"/>
          </w:tcPr>
          <w:p w14:paraId="1FD424C4" w14:textId="77777777" w:rsidR="00D27171" w:rsidRPr="003234C5" w:rsidRDefault="00D27171" w:rsidP="00D2717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Alíquota</w:t>
            </w:r>
          </w:p>
        </w:tc>
        <w:tc>
          <w:tcPr>
            <w:tcW w:w="2035" w:type="dxa"/>
            <w:shd w:val="clear" w:color="auto" w:fill="FFFFFF"/>
            <w:vAlign w:val="center"/>
          </w:tcPr>
          <w:p w14:paraId="2893281B" w14:textId="0E6548B4" w:rsidR="00D27171" w:rsidRPr="003234C5" w:rsidRDefault="00972AB9" w:rsidP="00D27171">
            <w:pPr>
              <w:autoSpaceDE w:val="0"/>
              <w:autoSpaceDN w:val="0"/>
              <w:adjustRightInd w:val="0"/>
              <w:spacing w:after="0"/>
              <w:jc w:val="right"/>
              <w:rPr>
                <w:rFonts w:ascii="Arial" w:hAnsi="Arial" w:cs="Arial"/>
                <w:b/>
                <w:sz w:val="20"/>
                <w:szCs w:val="20"/>
              </w:rPr>
            </w:pPr>
            <w:r>
              <w:rPr>
                <w:rFonts w:ascii="Arial" w:hAnsi="Arial" w:cs="Arial"/>
                <w:b/>
                <w:sz w:val="20"/>
                <w:szCs w:val="20"/>
              </w:rPr>
              <w:t>9%</w:t>
            </w:r>
          </w:p>
        </w:tc>
        <w:tc>
          <w:tcPr>
            <w:tcW w:w="2035" w:type="dxa"/>
            <w:shd w:val="clear" w:color="auto" w:fill="FFFFFF"/>
            <w:vAlign w:val="center"/>
          </w:tcPr>
          <w:p w14:paraId="3076506D" w14:textId="57CC6A70" w:rsidR="00D27171" w:rsidRPr="003234C5" w:rsidRDefault="00BB1FEA" w:rsidP="00D27171">
            <w:pPr>
              <w:autoSpaceDE w:val="0"/>
              <w:autoSpaceDN w:val="0"/>
              <w:adjustRightInd w:val="0"/>
              <w:spacing w:after="0"/>
              <w:jc w:val="right"/>
              <w:rPr>
                <w:rFonts w:ascii="Arial" w:hAnsi="Arial" w:cs="Arial"/>
                <w:b/>
                <w:sz w:val="20"/>
                <w:szCs w:val="20"/>
              </w:rPr>
            </w:pPr>
            <w:r>
              <w:rPr>
                <w:rFonts w:ascii="Arial" w:hAnsi="Arial" w:cs="Arial"/>
                <w:b/>
                <w:sz w:val="20"/>
                <w:szCs w:val="20"/>
              </w:rPr>
              <w:t>9%</w:t>
            </w:r>
          </w:p>
        </w:tc>
      </w:tr>
      <w:tr w:rsidR="009B34F5" w:rsidRPr="003234C5" w14:paraId="148F7240" w14:textId="77777777" w:rsidTr="00E82897">
        <w:trPr>
          <w:trHeight w:val="170"/>
        </w:trPr>
        <w:tc>
          <w:tcPr>
            <w:tcW w:w="5002" w:type="dxa"/>
            <w:shd w:val="clear" w:color="auto" w:fill="FFFFFF"/>
            <w:vAlign w:val="bottom"/>
          </w:tcPr>
          <w:p w14:paraId="5F58E0D9" w14:textId="77777777" w:rsidR="00D27171" w:rsidRPr="003234C5" w:rsidRDefault="00D27171" w:rsidP="00D27171">
            <w:pPr>
              <w:spacing w:after="0"/>
              <w:jc w:val="both"/>
              <w:rPr>
                <w:rFonts w:ascii="Arial" w:hAnsi="Arial" w:cs="Arial"/>
                <w:bCs/>
                <w:sz w:val="20"/>
                <w:szCs w:val="20"/>
              </w:rPr>
            </w:pPr>
            <w:bookmarkStart w:id="45" w:name="_Hlk506333950"/>
            <w:r w:rsidRPr="003234C5">
              <w:rPr>
                <w:rFonts w:ascii="Arial" w:hAnsi="Arial" w:cs="Arial"/>
                <w:bCs/>
                <w:sz w:val="20"/>
                <w:szCs w:val="20"/>
              </w:rPr>
              <w:t>Contribuição social corrente</w:t>
            </w:r>
          </w:p>
        </w:tc>
        <w:tc>
          <w:tcPr>
            <w:tcW w:w="2035" w:type="dxa"/>
            <w:shd w:val="clear" w:color="auto" w:fill="FFFFFF"/>
            <w:vAlign w:val="center"/>
          </w:tcPr>
          <w:p w14:paraId="6FB6E0C3" w14:textId="0E5D6D1E" w:rsidR="00D27171" w:rsidRPr="003234C5" w:rsidRDefault="00623F12" w:rsidP="00D27171">
            <w:pPr>
              <w:suppressAutoHyphens w:val="0"/>
              <w:spacing w:after="0" w:line="240" w:lineRule="auto"/>
              <w:jc w:val="right"/>
              <w:rPr>
                <w:rFonts w:ascii="Arial" w:hAnsi="Arial" w:cs="Arial"/>
                <w:sz w:val="20"/>
                <w:szCs w:val="20"/>
              </w:rPr>
            </w:pPr>
            <w:r>
              <w:rPr>
                <w:rFonts w:ascii="Arial" w:hAnsi="Arial" w:cs="Arial"/>
                <w:sz w:val="20"/>
                <w:szCs w:val="20"/>
              </w:rPr>
              <w:t>(</w:t>
            </w:r>
            <w:r w:rsidR="00972AB9">
              <w:rPr>
                <w:rFonts w:ascii="Arial" w:hAnsi="Arial" w:cs="Arial"/>
                <w:sz w:val="20"/>
                <w:szCs w:val="20"/>
              </w:rPr>
              <w:t>5.77</w:t>
            </w:r>
            <w:r w:rsidR="002E2153">
              <w:rPr>
                <w:rFonts w:ascii="Arial" w:hAnsi="Arial" w:cs="Arial"/>
                <w:sz w:val="20"/>
                <w:szCs w:val="20"/>
              </w:rPr>
              <w:t>2</w:t>
            </w:r>
            <w:r>
              <w:rPr>
                <w:rFonts w:ascii="Arial" w:hAnsi="Arial" w:cs="Arial"/>
                <w:sz w:val="20"/>
                <w:szCs w:val="20"/>
              </w:rPr>
              <w:t>)</w:t>
            </w:r>
          </w:p>
        </w:tc>
        <w:tc>
          <w:tcPr>
            <w:tcW w:w="2035" w:type="dxa"/>
            <w:shd w:val="clear" w:color="auto" w:fill="FFFFFF"/>
            <w:vAlign w:val="center"/>
          </w:tcPr>
          <w:p w14:paraId="55D98350" w14:textId="2D77A00C" w:rsidR="00D27171" w:rsidRPr="003234C5" w:rsidRDefault="0040068C" w:rsidP="00D27171">
            <w:pPr>
              <w:spacing w:after="0"/>
              <w:jc w:val="right"/>
              <w:rPr>
                <w:rFonts w:ascii="Arial" w:hAnsi="Arial" w:cs="Arial"/>
                <w:sz w:val="20"/>
                <w:szCs w:val="20"/>
              </w:rPr>
            </w:pPr>
            <w:r>
              <w:rPr>
                <w:rFonts w:ascii="Arial" w:hAnsi="Arial" w:cs="Arial"/>
                <w:sz w:val="20"/>
                <w:szCs w:val="20"/>
              </w:rPr>
              <w:t>(5.189)</w:t>
            </w:r>
          </w:p>
        </w:tc>
      </w:tr>
      <w:tr w:rsidR="009B34F5" w:rsidRPr="003234C5" w14:paraId="7775C4B0" w14:textId="77777777" w:rsidTr="00E82897">
        <w:trPr>
          <w:trHeight w:val="170"/>
        </w:trPr>
        <w:tc>
          <w:tcPr>
            <w:tcW w:w="5002" w:type="dxa"/>
            <w:shd w:val="clear" w:color="auto" w:fill="FFFFFF"/>
            <w:vAlign w:val="bottom"/>
          </w:tcPr>
          <w:p w14:paraId="5E1EC116"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Contribuição social diferida</w:t>
            </w:r>
          </w:p>
        </w:tc>
        <w:tc>
          <w:tcPr>
            <w:tcW w:w="2035" w:type="dxa"/>
            <w:shd w:val="clear" w:color="auto" w:fill="FFFFFF"/>
            <w:vAlign w:val="center"/>
          </w:tcPr>
          <w:p w14:paraId="5CE25FE7" w14:textId="1393DCCA" w:rsidR="00D27171" w:rsidRPr="003234C5" w:rsidRDefault="00972AB9" w:rsidP="00D27171">
            <w:pPr>
              <w:spacing w:after="0"/>
              <w:jc w:val="right"/>
              <w:rPr>
                <w:rFonts w:ascii="Arial" w:hAnsi="Arial" w:cs="Arial"/>
                <w:sz w:val="20"/>
                <w:szCs w:val="20"/>
              </w:rPr>
            </w:pPr>
            <w:r>
              <w:rPr>
                <w:rFonts w:ascii="Arial" w:hAnsi="Arial" w:cs="Arial"/>
                <w:sz w:val="20"/>
                <w:szCs w:val="20"/>
              </w:rPr>
              <w:t>40</w:t>
            </w:r>
            <w:r w:rsidR="002E2153">
              <w:rPr>
                <w:rFonts w:ascii="Arial" w:hAnsi="Arial" w:cs="Arial"/>
                <w:sz w:val="20"/>
                <w:szCs w:val="20"/>
              </w:rPr>
              <w:t>7</w:t>
            </w:r>
          </w:p>
        </w:tc>
        <w:tc>
          <w:tcPr>
            <w:tcW w:w="2035" w:type="dxa"/>
            <w:shd w:val="clear" w:color="auto" w:fill="FFFFFF"/>
            <w:vAlign w:val="center"/>
          </w:tcPr>
          <w:p w14:paraId="738604DF" w14:textId="66EA75ED" w:rsidR="00D27171" w:rsidRPr="003234C5" w:rsidRDefault="00992F1B" w:rsidP="00D27171">
            <w:pPr>
              <w:spacing w:after="0"/>
              <w:jc w:val="right"/>
              <w:rPr>
                <w:rFonts w:ascii="Arial" w:hAnsi="Arial" w:cs="Arial"/>
                <w:sz w:val="20"/>
                <w:szCs w:val="20"/>
              </w:rPr>
            </w:pPr>
            <w:r>
              <w:rPr>
                <w:rFonts w:ascii="Arial" w:hAnsi="Arial" w:cs="Arial"/>
                <w:sz w:val="20"/>
                <w:szCs w:val="20"/>
              </w:rPr>
              <w:t>(382)</w:t>
            </w:r>
          </w:p>
        </w:tc>
      </w:tr>
      <w:bookmarkEnd w:id="45"/>
      <w:tr w:rsidR="00E52B67" w:rsidRPr="003234C5" w14:paraId="05EA74F2" w14:textId="77777777" w:rsidTr="0040381C">
        <w:trPr>
          <w:trHeight w:val="170"/>
        </w:trPr>
        <w:tc>
          <w:tcPr>
            <w:tcW w:w="5002" w:type="dxa"/>
            <w:tcBorders>
              <w:bottom w:val="single" w:sz="4" w:space="0" w:color="000000"/>
            </w:tcBorders>
            <w:shd w:val="clear" w:color="auto" w:fill="C0C0C0"/>
            <w:vAlign w:val="bottom"/>
          </w:tcPr>
          <w:p w14:paraId="7C078081" w14:textId="77777777" w:rsidR="00D27171" w:rsidRPr="003234C5" w:rsidRDefault="00D27171" w:rsidP="00D2717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w:t>
            </w:r>
          </w:p>
        </w:tc>
        <w:tc>
          <w:tcPr>
            <w:tcW w:w="2035" w:type="dxa"/>
            <w:tcBorders>
              <w:bottom w:val="single" w:sz="4" w:space="0" w:color="000000"/>
            </w:tcBorders>
            <w:shd w:val="clear" w:color="auto" w:fill="C0C0C0"/>
            <w:vAlign w:val="center"/>
          </w:tcPr>
          <w:p w14:paraId="46D9DCB5" w14:textId="526CEF72" w:rsidR="00D27171" w:rsidRPr="003234C5" w:rsidRDefault="008A7D6C" w:rsidP="00D27171">
            <w:pPr>
              <w:autoSpaceDE w:val="0"/>
              <w:autoSpaceDN w:val="0"/>
              <w:adjustRightInd w:val="0"/>
              <w:spacing w:after="0"/>
              <w:jc w:val="right"/>
              <w:rPr>
                <w:rFonts w:ascii="Arial" w:hAnsi="Arial" w:cs="Arial"/>
                <w:b/>
                <w:sz w:val="20"/>
                <w:szCs w:val="20"/>
              </w:rPr>
            </w:pPr>
            <w:r>
              <w:rPr>
                <w:rFonts w:ascii="Arial" w:hAnsi="Arial" w:cs="Arial"/>
                <w:b/>
                <w:sz w:val="20"/>
                <w:szCs w:val="20"/>
              </w:rPr>
              <w:t>(</w:t>
            </w:r>
            <w:r w:rsidR="00623F12">
              <w:rPr>
                <w:rFonts w:ascii="Arial" w:hAnsi="Arial" w:cs="Arial"/>
                <w:b/>
                <w:sz w:val="20"/>
                <w:szCs w:val="20"/>
              </w:rPr>
              <w:t>5.36</w:t>
            </w:r>
            <w:r w:rsidR="003D13FB">
              <w:rPr>
                <w:rFonts w:ascii="Arial" w:hAnsi="Arial" w:cs="Arial"/>
                <w:b/>
                <w:sz w:val="20"/>
                <w:szCs w:val="20"/>
              </w:rPr>
              <w:t>5</w:t>
            </w:r>
            <w:r>
              <w:rPr>
                <w:rFonts w:ascii="Arial" w:hAnsi="Arial" w:cs="Arial"/>
                <w:b/>
                <w:sz w:val="20"/>
                <w:szCs w:val="20"/>
              </w:rPr>
              <w:t>)</w:t>
            </w:r>
          </w:p>
        </w:tc>
        <w:tc>
          <w:tcPr>
            <w:tcW w:w="2035" w:type="dxa"/>
            <w:tcBorders>
              <w:bottom w:val="single" w:sz="4" w:space="0" w:color="000000"/>
            </w:tcBorders>
            <w:shd w:val="clear" w:color="auto" w:fill="C0C0C0"/>
            <w:vAlign w:val="center"/>
          </w:tcPr>
          <w:p w14:paraId="2EF4F1BC" w14:textId="4F54CDF6" w:rsidR="00D27171" w:rsidRPr="003234C5" w:rsidRDefault="00B433AF" w:rsidP="00D27171">
            <w:pPr>
              <w:autoSpaceDE w:val="0"/>
              <w:autoSpaceDN w:val="0"/>
              <w:adjustRightInd w:val="0"/>
              <w:spacing w:after="0"/>
              <w:jc w:val="right"/>
              <w:rPr>
                <w:rFonts w:ascii="Arial" w:hAnsi="Arial" w:cs="Arial"/>
                <w:b/>
                <w:sz w:val="20"/>
                <w:szCs w:val="20"/>
              </w:rPr>
            </w:pPr>
            <w:r>
              <w:rPr>
                <w:rFonts w:ascii="Arial" w:hAnsi="Arial" w:cs="Arial"/>
                <w:b/>
                <w:sz w:val="20"/>
                <w:szCs w:val="20"/>
              </w:rPr>
              <w:t>(4.807)</w:t>
            </w:r>
          </w:p>
        </w:tc>
      </w:tr>
      <w:tr w:rsidR="009B34F5" w:rsidRPr="003234C5" w14:paraId="24B67992" w14:textId="77777777" w:rsidTr="004D54FC">
        <w:trPr>
          <w:trHeight w:val="170"/>
        </w:trPr>
        <w:tc>
          <w:tcPr>
            <w:tcW w:w="5002" w:type="dxa"/>
            <w:shd w:val="clear" w:color="auto" w:fill="C0C0C0"/>
            <w:vAlign w:val="center"/>
          </w:tcPr>
          <w:p w14:paraId="0E950B82" w14:textId="77777777" w:rsidR="00BF12E3" w:rsidRPr="003234C5" w:rsidRDefault="00BF12E3" w:rsidP="00BF12E3">
            <w:pPr>
              <w:autoSpaceDE w:val="0"/>
              <w:autoSpaceDN w:val="0"/>
              <w:adjustRightInd w:val="0"/>
              <w:spacing w:after="0"/>
              <w:jc w:val="both"/>
              <w:rPr>
                <w:rFonts w:ascii="Arial" w:hAnsi="Arial" w:cs="Arial"/>
                <w:b/>
                <w:sz w:val="20"/>
                <w:szCs w:val="20"/>
              </w:rPr>
            </w:pPr>
            <w:r w:rsidRPr="003234C5">
              <w:rPr>
                <w:rFonts w:ascii="Arial" w:hAnsi="Arial" w:cs="Arial"/>
                <w:b/>
                <w:bCs/>
                <w:sz w:val="20"/>
                <w:szCs w:val="20"/>
              </w:rPr>
              <w:t>Efeito do IRPJ</w:t>
            </w:r>
          </w:p>
        </w:tc>
        <w:tc>
          <w:tcPr>
            <w:tcW w:w="2035" w:type="dxa"/>
            <w:shd w:val="clear" w:color="auto" w:fill="C0C0C0"/>
            <w:vAlign w:val="bottom"/>
          </w:tcPr>
          <w:p w14:paraId="06E7386C" w14:textId="3F497DFB" w:rsidR="00BF12E3" w:rsidRPr="003234C5" w:rsidRDefault="00C6257E" w:rsidP="00BF12E3">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2035" w:type="dxa"/>
            <w:shd w:val="clear" w:color="auto" w:fill="C0C0C0"/>
            <w:vAlign w:val="bottom"/>
          </w:tcPr>
          <w:p w14:paraId="6F6C3191" w14:textId="036E39F3" w:rsidR="00BF12E3" w:rsidRPr="003234C5" w:rsidRDefault="00BF12E3" w:rsidP="00BF12E3">
            <w:pPr>
              <w:autoSpaceDE w:val="0"/>
              <w:autoSpaceDN w:val="0"/>
              <w:adjustRightInd w:val="0"/>
              <w:spacing w:after="0"/>
              <w:jc w:val="center"/>
              <w:rPr>
                <w:rFonts w:ascii="Arial" w:hAnsi="Arial" w:cs="Arial"/>
                <w:b/>
                <w:kern w:val="2"/>
                <w:sz w:val="20"/>
                <w:szCs w:val="20"/>
              </w:rPr>
            </w:pPr>
            <w:r w:rsidRPr="003234C5">
              <w:rPr>
                <w:rFonts w:ascii="Arial" w:hAnsi="Arial" w:cs="Arial"/>
                <w:b/>
                <w:bCs/>
                <w:color w:val="000000"/>
                <w:sz w:val="20"/>
                <w:szCs w:val="20"/>
              </w:rPr>
              <w:t>2018</w:t>
            </w:r>
          </w:p>
        </w:tc>
      </w:tr>
      <w:tr w:rsidR="009B34F5" w:rsidRPr="003234C5" w14:paraId="1CA414FD" w14:textId="77777777" w:rsidTr="00E82897">
        <w:trPr>
          <w:trHeight w:val="170"/>
        </w:trPr>
        <w:tc>
          <w:tcPr>
            <w:tcW w:w="5002" w:type="dxa"/>
            <w:shd w:val="clear" w:color="auto" w:fill="FFFFFF"/>
            <w:vAlign w:val="bottom"/>
          </w:tcPr>
          <w:p w14:paraId="07628D1D"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Lucro Antes do IRPJ após a reversão do JRCP</w:t>
            </w:r>
          </w:p>
        </w:tc>
        <w:tc>
          <w:tcPr>
            <w:tcW w:w="2035" w:type="dxa"/>
            <w:shd w:val="clear" w:color="auto" w:fill="FFFFFF"/>
            <w:vAlign w:val="center"/>
          </w:tcPr>
          <w:p w14:paraId="6ACC586A" w14:textId="56AC8E71" w:rsidR="00D27171" w:rsidRPr="003234C5" w:rsidRDefault="0031030F" w:rsidP="00D27171">
            <w:pPr>
              <w:spacing w:after="0"/>
              <w:jc w:val="right"/>
              <w:rPr>
                <w:rFonts w:ascii="Arial" w:hAnsi="Arial" w:cs="Arial"/>
                <w:sz w:val="20"/>
                <w:szCs w:val="20"/>
              </w:rPr>
            </w:pPr>
            <w:r>
              <w:rPr>
                <w:rFonts w:ascii="Arial" w:hAnsi="Arial" w:cs="Arial"/>
                <w:sz w:val="20"/>
                <w:szCs w:val="20"/>
              </w:rPr>
              <w:t>68.351</w:t>
            </w:r>
          </w:p>
        </w:tc>
        <w:tc>
          <w:tcPr>
            <w:tcW w:w="2035" w:type="dxa"/>
            <w:shd w:val="clear" w:color="auto" w:fill="FFFFFF"/>
            <w:vAlign w:val="center"/>
          </w:tcPr>
          <w:p w14:paraId="3C68D444" w14:textId="3BF9ED39" w:rsidR="00D27171" w:rsidRPr="003234C5" w:rsidRDefault="0018053F" w:rsidP="00D27171">
            <w:pPr>
              <w:spacing w:after="0"/>
              <w:jc w:val="right"/>
              <w:rPr>
                <w:rFonts w:ascii="Arial" w:hAnsi="Arial" w:cs="Arial"/>
                <w:sz w:val="20"/>
                <w:szCs w:val="20"/>
              </w:rPr>
            </w:pPr>
            <w:r>
              <w:rPr>
                <w:rFonts w:ascii="Arial" w:hAnsi="Arial" w:cs="Arial"/>
                <w:sz w:val="20"/>
                <w:szCs w:val="20"/>
              </w:rPr>
              <w:t>63.177</w:t>
            </w:r>
          </w:p>
        </w:tc>
      </w:tr>
      <w:tr w:rsidR="009B34F5" w:rsidRPr="003234C5" w14:paraId="5D0674E9" w14:textId="77777777" w:rsidTr="00E82897">
        <w:trPr>
          <w:trHeight w:val="170"/>
        </w:trPr>
        <w:tc>
          <w:tcPr>
            <w:tcW w:w="5002" w:type="dxa"/>
            <w:shd w:val="clear" w:color="auto" w:fill="FFFFFF"/>
            <w:vAlign w:val="bottom"/>
          </w:tcPr>
          <w:p w14:paraId="5DC5F10B"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Despesas JRCP</w:t>
            </w:r>
          </w:p>
        </w:tc>
        <w:tc>
          <w:tcPr>
            <w:tcW w:w="2035" w:type="dxa"/>
            <w:shd w:val="clear" w:color="auto" w:fill="FFFFFF"/>
            <w:vAlign w:val="center"/>
          </w:tcPr>
          <w:p w14:paraId="0DBD299C" w14:textId="34E1766B" w:rsidR="00D27171" w:rsidRPr="003234C5" w:rsidRDefault="0031030F" w:rsidP="00D27171">
            <w:pPr>
              <w:spacing w:after="0"/>
              <w:jc w:val="right"/>
              <w:rPr>
                <w:rFonts w:ascii="Arial" w:hAnsi="Arial" w:cs="Arial"/>
                <w:sz w:val="20"/>
                <w:szCs w:val="20"/>
              </w:rPr>
            </w:pPr>
            <w:r>
              <w:rPr>
                <w:rFonts w:ascii="Arial" w:hAnsi="Arial" w:cs="Arial"/>
                <w:sz w:val="20"/>
                <w:szCs w:val="20"/>
              </w:rPr>
              <w:t>(10.083)</w:t>
            </w:r>
          </w:p>
        </w:tc>
        <w:tc>
          <w:tcPr>
            <w:tcW w:w="2035" w:type="dxa"/>
            <w:shd w:val="clear" w:color="auto" w:fill="FFFFFF"/>
            <w:vAlign w:val="center"/>
          </w:tcPr>
          <w:p w14:paraId="2CF20DC1" w14:textId="1A97A4EF" w:rsidR="00D27171" w:rsidRPr="003234C5" w:rsidRDefault="00F23F32" w:rsidP="00D27171">
            <w:pPr>
              <w:spacing w:after="0"/>
              <w:jc w:val="right"/>
              <w:rPr>
                <w:rFonts w:ascii="Arial" w:hAnsi="Arial" w:cs="Arial"/>
                <w:sz w:val="20"/>
                <w:szCs w:val="20"/>
              </w:rPr>
            </w:pPr>
            <w:r>
              <w:rPr>
                <w:rFonts w:ascii="Arial" w:hAnsi="Arial" w:cs="Arial"/>
                <w:sz w:val="20"/>
                <w:szCs w:val="20"/>
              </w:rPr>
              <w:t>(10.006)</w:t>
            </w:r>
          </w:p>
        </w:tc>
      </w:tr>
      <w:tr w:rsidR="009B34F5" w:rsidRPr="003234C5" w14:paraId="7005649A" w14:textId="77777777" w:rsidTr="00E82897">
        <w:trPr>
          <w:trHeight w:val="170"/>
        </w:trPr>
        <w:tc>
          <w:tcPr>
            <w:tcW w:w="5002" w:type="dxa"/>
            <w:shd w:val="clear" w:color="auto" w:fill="FFFFFF"/>
            <w:vAlign w:val="bottom"/>
          </w:tcPr>
          <w:p w14:paraId="5BBFF9A4"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Lucro Antes do IRPJ</w:t>
            </w:r>
          </w:p>
        </w:tc>
        <w:tc>
          <w:tcPr>
            <w:tcW w:w="2035" w:type="dxa"/>
            <w:shd w:val="clear" w:color="auto" w:fill="FFFFFF"/>
            <w:vAlign w:val="center"/>
          </w:tcPr>
          <w:p w14:paraId="6ED8F11A" w14:textId="4888B9E4" w:rsidR="00D27171" w:rsidRPr="003234C5" w:rsidRDefault="0031030F" w:rsidP="00D27171">
            <w:pPr>
              <w:spacing w:after="0"/>
              <w:jc w:val="right"/>
              <w:rPr>
                <w:rFonts w:ascii="Arial" w:hAnsi="Arial" w:cs="Arial"/>
                <w:sz w:val="20"/>
                <w:szCs w:val="20"/>
              </w:rPr>
            </w:pPr>
            <w:r>
              <w:rPr>
                <w:rFonts w:ascii="Arial" w:hAnsi="Arial" w:cs="Arial"/>
                <w:sz w:val="20"/>
                <w:szCs w:val="20"/>
              </w:rPr>
              <w:t>58.268</w:t>
            </w:r>
          </w:p>
        </w:tc>
        <w:tc>
          <w:tcPr>
            <w:tcW w:w="2035" w:type="dxa"/>
            <w:shd w:val="clear" w:color="auto" w:fill="FFFFFF"/>
            <w:vAlign w:val="center"/>
          </w:tcPr>
          <w:p w14:paraId="13A65B33" w14:textId="1D71F209" w:rsidR="00D27171" w:rsidRPr="003234C5" w:rsidRDefault="00115144" w:rsidP="00D27171">
            <w:pPr>
              <w:spacing w:after="0"/>
              <w:jc w:val="right"/>
              <w:rPr>
                <w:rFonts w:ascii="Arial" w:hAnsi="Arial" w:cs="Arial"/>
                <w:sz w:val="20"/>
                <w:szCs w:val="20"/>
              </w:rPr>
            </w:pPr>
            <w:r>
              <w:rPr>
                <w:rFonts w:ascii="Arial" w:hAnsi="Arial" w:cs="Arial"/>
                <w:sz w:val="20"/>
                <w:szCs w:val="20"/>
              </w:rPr>
              <w:t>53.171</w:t>
            </w:r>
          </w:p>
        </w:tc>
      </w:tr>
      <w:tr w:rsidR="009B34F5" w:rsidRPr="003234C5" w14:paraId="4240B57D" w14:textId="77777777" w:rsidTr="00E82897">
        <w:trPr>
          <w:trHeight w:val="170"/>
        </w:trPr>
        <w:tc>
          <w:tcPr>
            <w:tcW w:w="5002" w:type="dxa"/>
            <w:shd w:val="clear" w:color="auto" w:fill="FFFFFF"/>
            <w:vAlign w:val="bottom"/>
          </w:tcPr>
          <w:p w14:paraId="19F1672D" w14:textId="77777777" w:rsidR="00D27171" w:rsidRPr="003234C5" w:rsidRDefault="00D27171" w:rsidP="00D27171">
            <w:pPr>
              <w:spacing w:after="0"/>
              <w:jc w:val="both"/>
              <w:rPr>
                <w:rFonts w:ascii="Arial" w:hAnsi="Arial" w:cs="Arial"/>
                <w:b/>
                <w:bCs/>
                <w:sz w:val="20"/>
                <w:szCs w:val="20"/>
              </w:rPr>
            </w:pPr>
            <w:r w:rsidRPr="003234C5">
              <w:rPr>
                <w:rFonts w:ascii="Arial" w:hAnsi="Arial" w:cs="Arial"/>
                <w:b/>
                <w:bCs/>
                <w:sz w:val="20"/>
                <w:szCs w:val="20"/>
              </w:rPr>
              <w:t>(+) Adição ao lucro real</w:t>
            </w:r>
          </w:p>
        </w:tc>
        <w:tc>
          <w:tcPr>
            <w:tcW w:w="2035" w:type="dxa"/>
            <w:shd w:val="clear" w:color="auto" w:fill="FFFFFF"/>
            <w:vAlign w:val="center"/>
          </w:tcPr>
          <w:p w14:paraId="5D0FED4E" w14:textId="4A2D0742" w:rsidR="00D27171" w:rsidRPr="003234C5" w:rsidRDefault="00CE2975" w:rsidP="00D27171">
            <w:pPr>
              <w:spacing w:after="0"/>
              <w:jc w:val="right"/>
              <w:rPr>
                <w:rFonts w:ascii="Arial" w:hAnsi="Arial" w:cs="Arial"/>
                <w:b/>
                <w:sz w:val="20"/>
                <w:szCs w:val="20"/>
              </w:rPr>
            </w:pPr>
            <w:r>
              <w:rPr>
                <w:rFonts w:ascii="Arial" w:hAnsi="Arial" w:cs="Arial"/>
                <w:b/>
                <w:sz w:val="20"/>
                <w:szCs w:val="20"/>
              </w:rPr>
              <w:t>8.351</w:t>
            </w:r>
          </w:p>
        </w:tc>
        <w:tc>
          <w:tcPr>
            <w:tcW w:w="2035" w:type="dxa"/>
            <w:shd w:val="clear" w:color="auto" w:fill="FFFFFF"/>
            <w:vAlign w:val="center"/>
          </w:tcPr>
          <w:p w14:paraId="470FBFDF" w14:textId="7965EB86" w:rsidR="00D27171" w:rsidRPr="003234C5" w:rsidRDefault="005F3C53" w:rsidP="00D27171">
            <w:pPr>
              <w:spacing w:after="0"/>
              <w:jc w:val="right"/>
              <w:rPr>
                <w:rFonts w:ascii="Arial" w:hAnsi="Arial" w:cs="Arial"/>
                <w:b/>
                <w:sz w:val="20"/>
                <w:szCs w:val="20"/>
              </w:rPr>
            </w:pPr>
            <w:r>
              <w:rPr>
                <w:rFonts w:ascii="Arial" w:hAnsi="Arial" w:cs="Arial"/>
                <w:b/>
                <w:sz w:val="20"/>
                <w:szCs w:val="20"/>
              </w:rPr>
              <w:t>4.727</w:t>
            </w:r>
          </w:p>
        </w:tc>
      </w:tr>
      <w:tr w:rsidR="009B34F5" w:rsidRPr="003234C5" w14:paraId="493F2AFB" w14:textId="77777777" w:rsidTr="00E82897">
        <w:tblPrEx>
          <w:tblCellMar>
            <w:left w:w="70" w:type="dxa"/>
            <w:right w:w="70" w:type="dxa"/>
          </w:tblCellMar>
        </w:tblPrEx>
        <w:trPr>
          <w:trHeight w:val="170"/>
        </w:trPr>
        <w:tc>
          <w:tcPr>
            <w:tcW w:w="5002" w:type="dxa"/>
            <w:shd w:val="clear" w:color="auto" w:fill="FFFFFF"/>
            <w:vAlign w:val="bottom"/>
          </w:tcPr>
          <w:p w14:paraId="477F5054"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     Depósitos Judiciais</w:t>
            </w:r>
          </w:p>
        </w:tc>
        <w:tc>
          <w:tcPr>
            <w:tcW w:w="2035" w:type="dxa"/>
            <w:shd w:val="clear" w:color="auto" w:fill="FFFFFF"/>
            <w:vAlign w:val="center"/>
          </w:tcPr>
          <w:p w14:paraId="7A399123" w14:textId="454FCAE0" w:rsidR="00D27171" w:rsidRPr="003234C5" w:rsidRDefault="0031030F" w:rsidP="00D27171">
            <w:pPr>
              <w:spacing w:after="0"/>
              <w:jc w:val="right"/>
              <w:rPr>
                <w:rFonts w:ascii="Arial" w:hAnsi="Arial" w:cs="Arial"/>
                <w:sz w:val="20"/>
                <w:szCs w:val="20"/>
              </w:rPr>
            </w:pPr>
            <w:r>
              <w:rPr>
                <w:rFonts w:ascii="Arial" w:hAnsi="Arial" w:cs="Arial"/>
                <w:sz w:val="20"/>
                <w:szCs w:val="20"/>
              </w:rPr>
              <w:t>4.514</w:t>
            </w:r>
          </w:p>
        </w:tc>
        <w:tc>
          <w:tcPr>
            <w:tcW w:w="2035" w:type="dxa"/>
            <w:shd w:val="clear" w:color="auto" w:fill="FFFFFF"/>
            <w:vAlign w:val="center"/>
          </w:tcPr>
          <w:p w14:paraId="0D81D7C4" w14:textId="1511F4DA" w:rsidR="00D27171" w:rsidRPr="003234C5" w:rsidRDefault="006C178C" w:rsidP="00D27171">
            <w:pPr>
              <w:spacing w:after="0"/>
              <w:jc w:val="right"/>
              <w:rPr>
                <w:rFonts w:ascii="Arial" w:hAnsi="Arial" w:cs="Arial"/>
                <w:sz w:val="20"/>
                <w:szCs w:val="20"/>
              </w:rPr>
            </w:pPr>
            <w:r>
              <w:rPr>
                <w:rFonts w:ascii="Arial" w:hAnsi="Arial" w:cs="Arial"/>
                <w:sz w:val="20"/>
                <w:szCs w:val="20"/>
              </w:rPr>
              <w:t>4.244</w:t>
            </w:r>
          </w:p>
        </w:tc>
      </w:tr>
      <w:tr w:rsidR="009B34F5" w:rsidRPr="003234C5" w14:paraId="466B5278" w14:textId="77777777" w:rsidTr="00E82897">
        <w:trPr>
          <w:trHeight w:val="170"/>
        </w:trPr>
        <w:tc>
          <w:tcPr>
            <w:tcW w:w="5002" w:type="dxa"/>
            <w:shd w:val="clear" w:color="auto" w:fill="FFFFFF"/>
            <w:vAlign w:val="bottom"/>
          </w:tcPr>
          <w:p w14:paraId="1760C28B"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     Multas Indedutíveis</w:t>
            </w:r>
          </w:p>
        </w:tc>
        <w:tc>
          <w:tcPr>
            <w:tcW w:w="2035" w:type="dxa"/>
            <w:shd w:val="clear" w:color="auto" w:fill="FFFFFF"/>
            <w:vAlign w:val="center"/>
          </w:tcPr>
          <w:p w14:paraId="7613FC6D" w14:textId="2126CA38" w:rsidR="00D27171" w:rsidRPr="003234C5" w:rsidRDefault="0031030F" w:rsidP="00D27171">
            <w:pPr>
              <w:spacing w:after="0"/>
              <w:jc w:val="right"/>
              <w:rPr>
                <w:rFonts w:ascii="Arial" w:hAnsi="Arial" w:cs="Arial"/>
                <w:sz w:val="20"/>
                <w:szCs w:val="20"/>
              </w:rPr>
            </w:pPr>
            <w:r>
              <w:rPr>
                <w:rFonts w:ascii="Arial" w:hAnsi="Arial" w:cs="Arial"/>
                <w:sz w:val="20"/>
                <w:szCs w:val="20"/>
              </w:rPr>
              <w:t>230</w:t>
            </w:r>
          </w:p>
        </w:tc>
        <w:tc>
          <w:tcPr>
            <w:tcW w:w="2035" w:type="dxa"/>
            <w:shd w:val="clear" w:color="auto" w:fill="FFFFFF"/>
            <w:vAlign w:val="center"/>
          </w:tcPr>
          <w:p w14:paraId="77C7C8B2" w14:textId="79660A4E" w:rsidR="00D27171" w:rsidRPr="003234C5" w:rsidRDefault="002B44B4" w:rsidP="00D27171">
            <w:pPr>
              <w:spacing w:after="0"/>
              <w:jc w:val="right"/>
              <w:rPr>
                <w:rFonts w:ascii="Arial" w:hAnsi="Arial" w:cs="Arial"/>
                <w:bCs/>
                <w:sz w:val="20"/>
                <w:szCs w:val="20"/>
              </w:rPr>
            </w:pPr>
            <w:r>
              <w:rPr>
                <w:rFonts w:ascii="Arial" w:hAnsi="Arial" w:cs="Arial"/>
                <w:bCs/>
                <w:sz w:val="20"/>
                <w:szCs w:val="20"/>
              </w:rPr>
              <w:t>4</w:t>
            </w:r>
          </w:p>
        </w:tc>
      </w:tr>
      <w:tr w:rsidR="00D213D5" w:rsidRPr="003234C5" w14:paraId="69C7676F" w14:textId="77777777" w:rsidTr="00E82897">
        <w:trPr>
          <w:trHeight w:val="170"/>
        </w:trPr>
        <w:tc>
          <w:tcPr>
            <w:tcW w:w="5002" w:type="dxa"/>
            <w:shd w:val="clear" w:color="auto" w:fill="FFFFFF"/>
            <w:vAlign w:val="bottom"/>
          </w:tcPr>
          <w:p w14:paraId="67C908E4" w14:textId="7AF0E57D" w:rsidR="00D213D5" w:rsidRPr="003234C5" w:rsidRDefault="00D213D5" w:rsidP="00D213D5">
            <w:pPr>
              <w:spacing w:after="0"/>
              <w:jc w:val="both"/>
              <w:rPr>
                <w:rFonts w:ascii="Arial" w:hAnsi="Arial" w:cs="Arial"/>
                <w:bCs/>
                <w:sz w:val="20"/>
                <w:szCs w:val="20"/>
              </w:rPr>
            </w:pPr>
            <w:r>
              <w:rPr>
                <w:rFonts w:ascii="Arial" w:hAnsi="Arial" w:cs="Arial"/>
                <w:bCs/>
                <w:sz w:val="20"/>
                <w:szCs w:val="20"/>
              </w:rPr>
              <w:t xml:space="preserve">     </w:t>
            </w:r>
            <w:r w:rsidRPr="003234C5">
              <w:rPr>
                <w:rFonts w:ascii="Arial" w:hAnsi="Arial" w:cs="Arial"/>
                <w:bCs/>
                <w:sz w:val="20"/>
                <w:szCs w:val="20"/>
              </w:rPr>
              <w:t>Incentivos fiscais Lei Rouanet</w:t>
            </w:r>
            <w:r>
              <w:rPr>
                <w:rFonts w:ascii="Arial" w:hAnsi="Arial" w:cs="Arial"/>
                <w:bCs/>
                <w:sz w:val="20"/>
                <w:szCs w:val="20"/>
              </w:rPr>
              <w:t xml:space="preserve"> / Desportiva/ FDCA/                  Fundo do Idoso/ Produção Cinematográfica</w:t>
            </w:r>
          </w:p>
        </w:tc>
        <w:tc>
          <w:tcPr>
            <w:tcW w:w="2035" w:type="dxa"/>
            <w:shd w:val="clear" w:color="auto" w:fill="FFFFFF"/>
            <w:vAlign w:val="center"/>
          </w:tcPr>
          <w:p w14:paraId="2666EFE4" w14:textId="3996C363" w:rsidR="00D213D5" w:rsidRPr="003234C5" w:rsidRDefault="00D213D5" w:rsidP="00D213D5">
            <w:pPr>
              <w:spacing w:after="0"/>
              <w:jc w:val="right"/>
              <w:rPr>
                <w:rFonts w:ascii="Arial" w:hAnsi="Arial" w:cs="Arial"/>
                <w:sz w:val="20"/>
                <w:szCs w:val="20"/>
              </w:rPr>
            </w:pPr>
            <w:r>
              <w:rPr>
                <w:rFonts w:ascii="Arial" w:hAnsi="Arial" w:cs="Arial"/>
                <w:sz w:val="20"/>
                <w:szCs w:val="20"/>
              </w:rPr>
              <w:t>634</w:t>
            </w:r>
          </w:p>
        </w:tc>
        <w:tc>
          <w:tcPr>
            <w:tcW w:w="2035" w:type="dxa"/>
            <w:shd w:val="clear" w:color="auto" w:fill="FFFFFF"/>
            <w:vAlign w:val="center"/>
          </w:tcPr>
          <w:p w14:paraId="560DC83B" w14:textId="55FBA992" w:rsidR="00D213D5" w:rsidRPr="003234C5" w:rsidRDefault="00D213D5" w:rsidP="00D213D5">
            <w:pPr>
              <w:spacing w:after="0"/>
              <w:jc w:val="right"/>
              <w:rPr>
                <w:rFonts w:ascii="Arial" w:hAnsi="Arial" w:cs="Arial"/>
                <w:bCs/>
                <w:sz w:val="20"/>
                <w:szCs w:val="20"/>
              </w:rPr>
            </w:pPr>
            <w:r>
              <w:rPr>
                <w:rFonts w:ascii="Arial" w:hAnsi="Arial" w:cs="Arial"/>
                <w:bCs/>
                <w:sz w:val="20"/>
                <w:szCs w:val="20"/>
              </w:rPr>
              <w:t>50</w:t>
            </w:r>
          </w:p>
        </w:tc>
      </w:tr>
      <w:tr w:rsidR="00D213D5" w:rsidRPr="003234C5" w14:paraId="30924E4C" w14:textId="77777777" w:rsidTr="00E82897">
        <w:trPr>
          <w:trHeight w:val="170"/>
        </w:trPr>
        <w:tc>
          <w:tcPr>
            <w:tcW w:w="5002" w:type="dxa"/>
            <w:shd w:val="clear" w:color="auto" w:fill="FFFFFF"/>
            <w:vAlign w:val="bottom"/>
          </w:tcPr>
          <w:p w14:paraId="66A9C5C5" w14:textId="1F08E81E" w:rsidR="00D213D5" w:rsidRPr="003234C5" w:rsidRDefault="00D213D5" w:rsidP="00D213D5">
            <w:pPr>
              <w:spacing w:after="0"/>
              <w:jc w:val="both"/>
              <w:rPr>
                <w:rFonts w:ascii="Arial" w:hAnsi="Arial" w:cs="Arial"/>
                <w:bCs/>
                <w:sz w:val="20"/>
                <w:szCs w:val="20"/>
              </w:rPr>
            </w:pPr>
            <w:r>
              <w:rPr>
                <w:rFonts w:ascii="Arial" w:hAnsi="Arial" w:cs="Arial"/>
                <w:bCs/>
                <w:sz w:val="20"/>
                <w:szCs w:val="20"/>
              </w:rPr>
              <w:t xml:space="preserve">     Bônus Diretoria</w:t>
            </w:r>
          </w:p>
        </w:tc>
        <w:tc>
          <w:tcPr>
            <w:tcW w:w="2035" w:type="dxa"/>
            <w:shd w:val="clear" w:color="auto" w:fill="FFFFFF"/>
            <w:vAlign w:val="center"/>
          </w:tcPr>
          <w:p w14:paraId="1A150BFB" w14:textId="1B8AB357" w:rsidR="00D213D5" w:rsidRDefault="00D213D5" w:rsidP="00D213D5">
            <w:pPr>
              <w:spacing w:after="0"/>
              <w:jc w:val="right"/>
              <w:rPr>
                <w:rFonts w:ascii="Arial" w:hAnsi="Arial" w:cs="Arial"/>
                <w:sz w:val="20"/>
                <w:szCs w:val="20"/>
              </w:rPr>
            </w:pPr>
            <w:r>
              <w:rPr>
                <w:rFonts w:ascii="Arial" w:hAnsi="Arial" w:cs="Arial"/>
                <w:sz w:val="20"/>
                <w:szCs w:val="20"/>
              </w:rPr>
              <w:t>112</w:t>
            </w:r>
          </w:p>
        </w:tc>
        <w:tc>
          <w:tcPr>
            <w:tcW w:w="2035" w:type="dxa"/>
            <w:shd w:val="clear" w:color="auto" w:fill="FFFFFF"/>
            <w:vAlign w:val="center"/>
          </w:tcPr>
          <w:p w14:paraId="347967DD" w14:textId="554D428E" w:rsidR="00D213D5" w:rsidRDefault="00D213D5" w:rsidP="00D213D5">
            <w:pPr>
              <w:spacing w:after="0"/>
              <w:jc w:val="right"/>
              <w:rPr>
                <w:rFonts w:ascii="Arial" w:hAnsi="Arial" w:cs="Arial"/>
                <w:bCs/>
                <w:sz w:val="20"/>
                <w:szCs w:val="20"/>
              </w:rPr>
            </w:pPr>
            <w:r>
              <w:rPr>
                <w:rFonts w:ascii="Arial" w:hAnsi="Arial" w:cs="Arial"/>
                <w:bCs/>
                <w:sz w:val="20"/>
                <w:szCs w:val="20"/>
              </w:rPr>
              <w:t>98</w:t>
            </w:r>
          </w:p>
        </w:tc>
      </w:tr>
      <w:tr w:rsidR="00D213D5" w:rsidRPr="003234C5" w14:paraId="279CEB70" w14:textId="77777777" w:rsidTr="00E82897">
        <w:trPr>
          <w:trHeight w:val="170"/>
        </w:trPr>
        <w:tc>
          <w:tcPr>
            <w:tcW w:w="5002" w:type="dxa"/>
            <w:shd w:val="clear" w:color="auto" w:fill="FFFFFF"/>
            <w:vAlign w:val="bottom"/>
          </w:tcPr>
          <w:p w14:paraId="4DEB6863" w14:textId="5DF20656" w:rsidR="00D213D5" w:rsidRPr="003234C5" w:rsidRDefault="00D213D5" w:rsidP="00D213D5">
            <w:pPr>
              <w:spacing w:after="0"/>
              <w:jc w:val="both"/>
              <w:rPr>
                <w:rFonts w:ascii="Arial" w:hAnsi="Arial" w:cs="Arial"/>
                <w:bCs/>
                <w:sz w:val="20"/>
                <w:szCs w:val="20"/>
              </w:rPr>
            </w:pPr>
            <w:r>
              <w:rPr>
                <w:rFonts w:ascii="Arial" w:hAnsi="Arial" w:cs="Arial"/>
                <w:bCs/>
                <w:sz w:val="20"/>
                <w:szCs w:val="20"/>
              </w:rPr>
              <w:t xml:space="preserve">     Doações Indedutíveis</w:t>
            </w:r>
          </w:p>
        </w:tc>
        <w:tc>
          <w:tcPr>
            <w:tcW w:w="2035" w:type="dxa"/>
            <w:shd w:val="clear" w:color="auto" w:fill="FFFFFF"/>
            <w:vAlign w:val="center"/>
          </w:tcPr>
          <w:p w14:paraId="5B1082E4" w14:textId="13A92F3F" w:rsidR="00D213D5" w:rsidRPr="003234C5" w:rsidRDefault="00D213D5" w:rsidP="00D213D5">
            <w:pPr>
              <w:spacing w:after="0"/>
              <w:jc w:val="right"/>
              <w:rPr>
                <w:rFonts w:ascii="Arial" w:hAnsi="Arial" w:cs="Arial"/>
                <w:sz w:val="20"/>
                <w:szCs w:val="20"/>
              </w:rPr>
            </w:pPr>
            <w:r>
              <w:rPr>
                <w:rFonts w:ascii="Arial" w:hAnsi="Arial" w:cs="Arial"/>
                <w:sz w:val="20"/>
                <w:szCs w:val="20"/>
              </w:rPr>
              <w:t>-</w:t>
            </w:r>
          </w:p>
        </w:tc>
        <w:tc>
          <w:tcPr>
            <w:tcW w:w="2035" w:type="dxa"/>
            <w:shd w:val="clear" w:color="auto" w:fill="FFFFFF"/>
            <w:vAlign w:val="center"/>
          </w:tcPr>
          <w:p w14:paraId="237A585F" w14:textId="7AEE1A2E" w:rsidR="00D213D5" w:rsidRDefault="00D213D5" w:rsidP="00D213D5">
            <w:pPr>
              <w:spacing w:after="0"/>
              <w:jc w:val="right"/>
              <w:rPr>
                <w:rFonts w:ascii="Arial" w:hAnsi="Arial" w:cs="Arial"/>
                <w:bCs/>
                <w:sz w:val="20"/>
                <w:szCs w:val="20"/>
              </w:rPr>
            </w:pPr>
            <w:r>
              <w:rPr>
                <w:rFonts w:ascii="Arial" w:hAnsi="Arial" w:cs="Arial"/>
                <w:bCs/>
                <w:sz w:val="20"/>
                <w:szCs w:val="20"/>
              </w:rPr>
              <w:t>50</w:t>
            </w:r>
          </w:p>
        </w:tc>
      </w:tr>
      <w:tr w:rsidR="00D213D5" w:rsidRPr="003234C5" w14:paraId="568E4528" w14:textId="77777777" w:rsidTr="00E82897">
        <w:trPr>
          <w:trHeight w:val="170"/>
        </w:trPr>
        <w:tc>
          <w:tcPr>
            <w:tcW w:w="5002" w:type="dxa"/>
            <w:shd w:val="clear" w:color="auto" w:fill="FFFFFF"/>
            <w:vAlign w:val="bottom"/>
          </w:tcPr>
          <w:p w14:paraId="2333C724" w14:textId="77777777" w:rsidR="00D213D5" w:rsidRPr="003234C5" w:rsidRDefault="00D213D5" w:rsidP="00D213D5">
            <w:pPr>
              <w:spacing w:after="0"/>
              <w:jc w:val="both"/>
              <w:rPr>
                <w:rFonts w:ascii="Arial" w:hAnsi="Arial" w:cs="Arial"/>
                <w:bCs/>
                <w:sz w:val="20"/>
                <w:szCs w:val="20"/>
              </w:rPr>
            </w:pPr>
            <w:r w:rsidRPr="003234C5">
              <w:rPr>
                <w:rFonts w:ascii="Arial" w:hAnsi="Arial" w:cs="Arial"/>
                <w:bCs/>
                <w:sz w:val="20"/>
                <w:szCs w:val="20"/>
              </w:rPr>
              <w:t xml:space="preserve">     Provisão para contingências trabalhistas</w:t>
            </w:r>
          </w:p>
        </w:tc>
        <w:tc>
          <w:tcPr>
            <w:tcW w:w="2035" w:type="dxa"/>
            <w:shd w:val="clear" w:color="auto" w:fill="FFFFFF"/>
            <w:vAlign w:val="center"/>
          </w:tcPr>
          <w:p w14:paraId="146B76E3" w14:textId="20D8B6F0" w:rsidR="00D213D5" w:rsidRPr="003234C5" w:rsidRDefault="00D213D5" w:rsidP="00D213D5">
            <w:pPr>
              <w:suppressAutoHyphens w:val="0"/>
              <w:spacing w:after="0" w:line="240" w:lineRule="auto"/>
              <w:jc w:val="right"/>
              <w:rPr>
                <w:rFonts w:ascii="Arial" w:eastAsia="Times New Roman" w:hAnsi="Arial" w:cs="Arial"/>
                <w:kern w:val="0"/>
                <w:sz w:val="20"/>
                <w:szCs w:val="20"/>
                <w:lang w:eastAsia="pt-BR"/>
              </w:rPr>
            </w:pPr>
            <w:r>
              <w:rPr>
                <w:rFonts w:ascii="Arial" w:hAnsi="Arial" w:cs="Arial"/>
                <w:color w:val="000000"/>
                <w:sz w:val="20"/>
                <w:szCs w:val="20"/>
              </w:rPr>
              <w:t>7</w:t>
            </w:r>
          </w:p>
        </w:tc>
        <w:tc>
          <w:tcPr>
            <w:tcW w:w="2035" w:type="dxa"/>
            <w:shd w:val="clear" w:color="auto" w:fill="FFFFFF"/>
            <w:vAlign w:val="center"/>
          </w:tcPr>
          <w:p w14:paraId="79BCAEE3" w14:textId="52D93001" w:rsidR="00D213D5" w:rsidRPr="003234C5" w:rsidRDefault="00D213D5" w:rsidP="00D213D5">
            <w:pPr>
              <w:spacing w:after="0"/>
              <w:jc w:val="right"/>
              <w:rPr>
                <w:rFonts w:ascii="Arial" w:hAnsi="Arial" w:cs="Arial"/>
                <w:bCs/>
                <w:sz w:val="20"/>
                <w:szCs w:val="20"/>
              </w:rPr>
            </w:pPr>
            <w:r>
              <w:rPr>
                <w:rFonts w:ascii="Arial" w:hAnsi="Arial" w:cs="Arial"/>
                <w:bCs/>
                <w:sz w:val="20"/>
                <w:szCs w:val="20"/>
              </w:rPr>
              <w:t>221</w:t>
            </w:r>
          </w:p>
        </w:tc>
      </w:tr>
      <w:tr w:rsidR="00D213D5" w:rsidRPr="003234C5" w14:paraId="19C3FC1D" w14:textId="77777777" w:rsidTr="00E82897">
        <w:trPr>
          <w:trHeight w:val="170"/>
        </w:trPr>
        <w:tc>
          <w:tcPr>
            <w:tcW w:w="5002" w:type="dxa"/>
            <w:shd w:val="clear" w:color="auto" w:fill="FFFFFF"/>
            <w:vAlign w:val="bottom"/>
          </w:tcPr>
          <w:p w14:paraId="4651658F" w14:textId="4178D043" w:rsidR="00D213D5" w:rsidRPr="003234C5" w:rsidRDefault="00D213D5" w:rsidP="00D213D5">
            <w:pPr>
              <w:spacing w:after="0"/>
              <w:jc w:val="both"/>
              <w:rPr>
                <w:rFonts w:ascii="Arial" w:hAnsi="Arial" w:cs="Arial"/>
                <w:bCs/>
                <w:sz w:val="20"/>
                <w:szCs w:val="20"/>
              </w:rPr>
            </w:pPr>
            <w:r w:rsidRPr="003234C5">
              <w:rPr>
                <w:rFonts w:ascii="Arial" w:hAnsi="Arial" w:cs="Arial"/>
                <w:bCs/>
                <w:sz w:val="20"/>
                <w:szCs w:val="20"/>
              </w:rPr>
              <w:t xml:space="preserve">     Programa emp. Cidadã - Sal. </w:t>
            </w:r>
            <w:proofErr w:type="spellStart"/>
            <w:r w:rsidRPr="003234C5">
              <w:rPr>
                <w:rFonts w:ascii="Arial" w:hAnsi="Arial" w:cs="Arial"/>
                <w:bCs/>
                <w:sz w:val="20"/>
                <w:szCs w:val="20"/>
              </w:rPr>
              <w:t>Matern</w:t>
            </w:r>
            <w:proofErr w:type="spellEnd"/>
            <w:r w:rsidRPr="003234C5">
              <w:rPr>
                <w:rFonts w:ascii="Arial" w:hAnsi="Arial" w:cs="Arial"/>
                <w:bCs/>
                <w:sz w:val="20"/>
                <w:szCs w:val="20"/>
              </w:rPr>
              <w:t xml:space="preserve"> 60 dias</w:t>
            </w:r>
          </w:p>
        </w:tc>
        <w:tc>
          <w:tcPr>
            <w:tcW w:w="2035" w:type="dxa"/>
            <w:shd w:val="clear" w:color="auto" w:fill="FFFFFF"/>
            <w:vAlign w:val="center"/>
          </w:tcPr>
          <w:p w14:paraId="3BB20A2C" w14:textId="5675B641" w:rsidR="00D213D5" w:rsidRPr="003234C5" w:rsidRDefault="00D213D5" w:rsidP="00D213D5">
            <w:pPr>
              <w:spacing w:after="0"/>
              <w:jc w:val="right"/>
              <w:rPr>
                <w:rFonts w:ascii="Arial" w:hAnsi="Arial" w:cs="Arial"/>
                <w:sz w:val="20"/>
                <w:szCs w:val="20"/>
              </w:rPr>
            </w:pPr>
            <w:r>
              <w:rPr>
                <w:rFonts w:ascii="Arial" w:hAnsi="Arial" w:cs="Arial"/>
                <w:sz w:val="20"/>
                <w:szCs w:val="20"/>
              </w:rPr>
              <w:t>25</w:t>
            </w:r>
          </w:p>
        </w:tc>
        <w:tc>
          <w:tcPr>
            <w:tcW w:w="2035" w:type="dxa"/>
            <w:shd w:val="clear" w:color="auto" w:fill="FFFFFF"/>
            <w:vAlign w:val="center"/>
          </w:tcPr>
          <w:p w14:paraId="383D110D" w14:textId="1464EE4E" w:rsidR="00D213D5" w:rsidRPr="003234C5" w:rsidRDefault="00D213D5" w:rsidP="00D213D5">
            <w:pPr>
              <w:spacing w:after="0"/>
              <w:jc w:val="right"/>
              <w:rPr>
                <w:rFonts w:ascii="Arial" w:hAnsi="Arial" w:cs="Arial"/>
                <w:color w:val="000000"/>
                <w:sz w:val="20"/>
                <w:szCs w:val="20"/>
              </w:rPr>
            </w:pPr>
            <w:r>
              <w:rPr>
                <w:rFonts w:ascii="Arial" w:hAnsi="Arial" w:cs="Arial"/>
                <w:color w:val="000000"/>
                <w:sz w:val="20"/>
                <w:szCs w:val="20"/>
              </w:rPr>
              <w:t>19</w:t>
            </w:r>
          </w:p>
        </w:tc>
      </w:tr>
      <w:tr w:rsidR="00D213D5" w:rsidRPr="003234C5" w14:paraId="0C1FC900" w14:textId="77777777" w:rsidTr="00E82897">
        <w:trPr>
          <w:trHeight w:val="170"/>
        </w:trPr>
        <w:tc>
          <w:tcPr>
            <w:tcW w:w="5002" w:type="dxa"/>
            <w:shd w:val="clear" w:color="auto" w:fill="FFFFFF"/>
            <w:vAlign w:val="bottom"/>
          </w:tcPr>
          <w:p w14:paraId="5D1F2C05" w14:textId="7F28CD42" w:rsidR="00D213D5" w:rsidRPr="003234C5" w:rsidRDefault="00D213D5" w:rsidP="00D213D5">
            <w:pPr>
              <w:spacing w:after="0"/>
              <w:jc w:val="both"/>
              <w:rPr>
                <w:rFonts w:ascii="Arial" w:hAnsi="Arial" w:cs="Arial"/>
                <w:bCs/>
                <w:sz w:val="20"/>
                <w:szCs w:val="20"/>
              </w:rPr>
            </w:pPr>
            <w:r w:rsidRPr="003234C5">
              <w:rPr>
                <w:rFonts w:ascii="Arial" w:hAnsi="Arial" w:cs="Arial"/>
                <w:bCs/>
                <w:sz w:val="20"/>
                <w:szCs w:val="20"/>
              </w:rPr>
              <w:t xml:space="preserve">     Despesa Financeira e Amortização IFRS 16</w:t>
            </w:r>
          </w:p>
        </w:tc>
        <w:tc>
          <w:tcPr>
            <w:tcW w:w="2035" w:type="dxa"/>
            <w:shd w:val="clear" w:color="auto" w:fill="FFFFFF"/>
            <w:vAlign w:val="center"/>
          </w:tcPr>
          <w:p w14:paraId="0FE890B7" w14:textId="4F539BE6" w:rsidR="00D213D5" w:rsidRPr="003234C5" w:rsidRDefault="00D213D5" w:rsidP="00D213D5">
            <w:pPr>
              <w:spacing w:after="0"/>
              <w:jc w:val="right"/>
              <w:rPr>
                <w:rFonts w:ascii="Arial" w:hAnsi="Arial" w:cs="Arial"/>
                <w:color w:val="000000"/>
                <w:sz w:val="20"/>
                <w:szCs w:val="20"/>
              </w:rPr>
            </w:pPr>
            <w:r>
              <w:rPr>
                <w:rFonts w:ascii="Arial" w:hAnsi="Arial" w:cs="Arial"/>
                <w:color w:val="000000"/>
                <w:sz w:val="20"/>
                <w:szCs w:val="20"/>
              </w:rPr>
              <w:t>2.687</w:t>
            </w:r>
          </w:p>
        </w:tc>
        <w:tc>
          <w:tcPr>
            <w:tcW w:w="2035" w:type="dxa"/>
            <w:shd w:val="clear" w:color="auto" w:fill="FFFFFF"/>
            <w:vAlign w:val="center"/>
          </w:tcPr>
          <w:p w14:paraId="6804683D" w14:textId="64205579" w:rsidR="00D213D5" w:rsidRPr="003234C5" w:rsidRDefault="00D213D5" w:rsidP="00D213D5">
            <w:pPr>
              <w:spacing w:after="0"/>
              <w:jc w:val="right"/>
              <w:rPr>
                <w:rFonts w:ascii="Arial" w:hAnsi="Arial" w:cs="Arial"/>
                <w:color w:val="000000"/>
                <w:sz w:val="20"/>
                <w:szCs w:val="20"/>
              </w:rPr>
            </w:pPr>
            <w:r>
              <w:rPr>
                <w:rFonts w:ascii="Arial" w:hAnsi="Arial" w:cs="Arial"/>
                <w:color w:val="000000"/>
                <w:sz w:val="20"/>
                <w:szCs w:val="20"/>
              </w:rPr>
              <w:t>-</w:t>
            </w:r>
          </w:p>
        </w:tc>
      </w:tr>
      <w:tr w:rsidR="00D213D5" w:rsidRPr="003234C5" w14:paraId="1DF4005B" w14:textId="77777777" w:rsidTr="00E82897">
        <w:trPr>
          <w:trHeight w:val="170"/>
        </w:trPr>
        <w:tc>
          <w:tcPr>
            <w:tcW w:w="5002" w:type="dxa"/>
            <w:shd w:val="clear" w:color="auto" w:fill="FFFFFF"/>
            <w:vAlign w:val="bottom"/>
          </w:tcPr>
          <w:p w14:paraId="2A13708C" w14:textId="54918E00" w:rsidR="00D213D5" w:rsidRPr="003234C5" w:rsidRDefault="00D213D5" w:rsidP="00D213D5">
            <w:pPr>
              <w:spacing w:after="0"/>
              <w:jc w:val="both"/>
              <w:rPr>
                <w:rFonts w:ascii="Arial" w:hAnsi="Arial" w:cs="Arial"/>
                <w:bCs/>
                <w:sz w:val="20"/>
                <w:szCs w:val="20"/>
              </w:rPr>
            </w:pPr>
            <w:r>
              <w:rPr>
                <w:rFonts w:ascii="Arial" w:hAnsi="Arial" w:cs="Arial"/>
                <w:bCs/>
                <w:sz w:val="20"/>
                <w:szCs w:val="20"/>
              </w:rPr>
              <w:t xml:space="preserve">     Reversão PCLD Gerencial</w:t>
            </w:r>
          </w:p>
        </w:tc>
        <w:tc>
          <w:tcPr>
            <w:tcW w:w="2035" w:type="dxa"/>
            <w:shd w:val="clear" w:color="auto" w:fill="FFFFFF"/>
            <w:vAlign w:val="center"/>
          </w:tcPr>
          <w:p w14:paraId="46D18200" w14:textId="2457DAFC" w:rsidR="00D213D5" w:rsidRDefault="00D213D5" w:rsidP="00D213D5">
            <w:pPr>
              <w:spacing w:after="0"/>
              <w:jc w:val="right"/>
              <w:rPr>
                <w:rFonts w:ascii="Arial" w:hAnsi="Arial" w:cs="Arial"/>
                <w:color w:val="000000"/>
                <w:sz w:val="20"/>
                <w:szCs w:val="20"/>
              </w:rPr>
            </w:pPr>
            <w:r>
              <w:rPr>
                <w:rFonts w:ascii="Arial" w:hAnsi="Arial" w:cs="Arial"/>
                <w:color w:val="000000"/>
                <w:sz w:val="20"/>
                <w:szCs w:val="20"/>
              </w:rPr>
              <w:t>102</w:t>
            </w:r>
          </w:p>
        </w:tc>
        <w:tc>
          <w:tcPr>
            <w:tcW w:w="2035" w:type="dxa"/>
            <w:shd w:val="clear" w:color="auto" w:fill="FFFFFF"/>
            <w:vAlign w:val="center"/>
          </w:tcPr>
          <w:p w14:paraId="6E751D5A" w14:textId="5978C44C" w:rsidR="00D213D5" w:rsidRDefault="00D213D5" w:rsidP="00D213D5">
            <w:pPr>
              <w:spacing w:after="0"/>
              <w:jc w:val="right"/>
              <w:rPr>
                <w:rFonts w:ascii="Arial" w:hAnsi="Arial" w:cs="Arial"/>
                <w:color w:val="000000"/>
                <w:sz w:val="20"/>
                <w:szCs w:val="20"/>
              </w:rPr>
            </w:pPr>
            <w:r>
              <w:rPr>
                <w:rFonts w:ascii="Arial" w:hAnsi="Arial" w:cs="Arial"/>
                <w:color w:val="000000"/>
                <w:sz w:val="20"/>
                <w:szCs w:val="20"/>
              </w:rPr>
              <w:t>-</w:t>
            </w:r>
          </w:p>
        </w:tc>
      </w:tr>
      <w:tr w:rsidR="00D213D5" w:rsidRPr="003234C5" w14:paraId="5A2F192A" w14:textId="77777777" w:rsidTr="00E82897">
        <w:trPr>
          <w:trHeight w:val="170"/>
        </w:trPr>
        <w:tc>
          <w:tcPr>
            <w:tcW w:w="5002" w:type="dxa"/>
            <w:shd w:val="clear" w:color="auto" w:fill="FFFFFF"/>
            <w:vAlign w:val="bottom"/>
          </w:tcPr>
          <w:p w14:paraId="2AFFF1C4" w14:textId="77777777" w:rsidR="00D213D5" w:rsidRPr="003234C5" w:rsidRDefault="00D213D5" w:rsidP="00D213D5">
            <w:pPr>
              <w:spacing w:after="0"/>
              <w:jc w:val="both"/>
              <w:rPr>
                <w:rFonts w:ascii="Arial" w:hAnsi="Arial" w:cs="Arial"/>
                <w:bCs/>
                <w:sz w:val="20"/>
                <w:szCs w:val="20"/>
              </w:rPr>
            </w:pPr>
            <w:r w:rsidRPr="003234C5">
              <w:rPr>
                <w:rFonts w:ascii="Arial" w:hAnsi="Arial" w:cs="Arial"/>
                <w:bCs/>
                <w:sz w:val="20"/>
                <w:szCs w:val="20"/>
              </w:rPr>
              <w:t xml:space="preserve">     Outras</w:t>
            </w:r>
          </w:p>
        </w:tc>
        <w:tc>
          <w:tcPr>
            <w:tcW w:w="2035" w:type="dxa"/>
            <w:shd w:val="clear" w:color="auto" w:fill="FFFFFF"/>
            <w:vAlign w:val="center"/>
          </w:tcPr>
          <w:p w14:paraId="37EAA4B3" w14:textId="43BBF961" w:rsidR="00D213D5" w:rsidRPr="003234C5" w:rsidRDefault="00D213D5" w:rsidP="00D213D5">
            <w:pPr>
              <w:spacing w:after="0"/>
              <w:jc w:val="right"/>
              <w:rPr>
                <w:rFonts w:ascii="Arial" w:hAnsi="Arial" w:cs="Arial"/>
                <w:sz w:val="20"/>
                <w:szCs w:val="20"/>
              </w:rPr>
            </w:pPr>
            <w:r>
              <w:rPr>
                <w:rFonts w:ascii="Arial" w:hAnsi="Arial" w:cs="Arial"/>
                <w:color w:val="000000"/>
                <w:sz w:val="20"/>
                <w:szCs w:val="20"/>
              </w:rPr>
              <w:t>40</w:t>
            </w:r>
          </w:p>
        </w:tc>
        <w:tc>
          <w:tcPr>
            <w:tcW w:w="2035" w:type="dxa"/>
            <w:shd w:val="clear" w:color="auto" w:fill="FFFFFF"/>
            <w:vAlign w:val="center"/>
          </w:tcPr>
          <w:p w14:paraId="3FBD3F38" w14:textId="78C36DE5" w:rsidR="00D213D5" w:rsidRPr="003234C5" w:rsidRDefault="00D213D5" w:rsidP="00D213D5">
            <w:pPr>
              <w:spacing w:after="0"/>
              <w:jc w:val="right"/>
              <w:rPr>
                <w:rFonts w:ascii="Arial" w:hAnsi="Arial" w:cs="Arial"/>
                <w:kern w:val="2"/>
                <w:sz w:val="20"/>
                <w:szCs w:val="20"/>
              </w:rPr>
            </w:pPr>
            <w:r>
              <w:rPr>
                <w:rFonts w:ascii="Arial" w:hAnsi="Arial" w:cs="Arial"/>
                <w:kern w:val="2"/>
                <w:sz w:val="20"/>
                <w:szCs w:val="20"/>
              </w:rPr>
              <w:t>41</w:t>
            </w:r>
          </w:p>
        </w:tc>
      </w:tr>
      <w:tr w:rsidR="00D213D5" w:rsidRPr="003234C5" w14:paraId="174E4A97" w14:textId="77777777" w:rsidTr="00E82897">
        <w:trPr>
          <w:trHeight w:val="170"/>
        </w:trPr>
        <w:tc>
          <w:tcPr>
            <w:tcW w:w="5002" w:type="dxa"/>
            <w:shd w:val="clear" w:color="auto" w:fill="FFFFFF"/>
            <w:vAlign w:val="bottom"/>
          </w:tcPr>
          <w:p w14:paraId="5BE54795" w14:textId="77777777" w:rsidR="00D213D5" w:rsidRPr="003234C5" w:rsidRDefault="00D213D5" w:rsidP="00D213D5">
            <w:pPr>
              <w:spacing w:after="0"/>
              <w:jc w:val="both"/>
              <w:rPr>
                <w:rFonts w:ascii="Arial" w:hAnsi="Arial" w:cs="Arial"/>
                <w:b/>
                <w:bCs/>
                <w:sz w:val="20"/>
                <w:szCs w:val="20"/>
              </w:rPr>
            </w:pPr>
            <w:r w:rsidRPr="003234C5">
              <w:rPr>
                <w:rFonts w:ascii="Arial" w:hAnsi="Arial" w:cs="Arial"/>
                <w:b/>
                <w:bCs/>
                <w:sz w:val="20"/>
                <w:szCs w:val="20"/>
              </w:rPr>
              <w:t>(-) Exclusões</w:t>
            </w:r>
          </w:p>
        </w:tc>
        <w:tc>
          <w:tcPr>
            <w:tcW w:w="2035" w:type="dxa"/>
            <w:shd w:val="clear" w:color="auto" w:fill="FFFFFF"/>
            <w:vAlign w:val="center"/>
          </w:tcPr>
          <w:p w14:paraId="05F80B7B" w14:textId="5A37690A" w:rsidR="00D213D5" w:rsidRPr="003234C5" w:rsidRDefault="00D213D5" w:rsidP="00D213D5">
            <w:pPr>
              <w:spacing w:after="0"/>
              <w:jc w:val="right"/>
              <w:rPr>
                <w:rFonts w:ascii="Arial" w:hAnsi="Arial" w:cs="Arial"/>
                <w:b/>
                <w:sz w:val="20"/>
                <w:szCs w:val="20"/>
              </w:rPr>
            </w:pPr>
            <w:r>
              <w:rPr>
                <w:rFonts w:ascii="Arial" w:hAnsi="Arial" w:cs="Arial"/>
                <w:b/>
                <w:sz w:val="20"/>
                <w:szCs w:val="20"/>
              </w:rPr>
              <w:t>(2.378)</w:t>
            </w:r>
          </w:p>
        </w:tc>
        <w:tc>
          <w:tcPr>
            <w:tcW w:w="2035" w:type="dxa"/>
            <w:shd w:val="clear" w:color="auto" w:fill="FFFFFF"/>
            <w:vAlign w:val="center"/>
          </w:tcPr>
          <w:p w14:paraId="17DD13D3" w14:textId="69A8F04B" w:rsidR="00D213D5" w:rsidRPr="003234C5" w:rsidRDefault="00D213D5" w:rsidP="00D213D5">
            <w:pPr>
              <w:spacing w:after="0"/>
              <w:jc w:val="right"/>
              <w:rPr>
                <w:rFonts w:ascii="Arial" w:hAnsi="Arial" w:cs="Arial"/>
                <w:b/>
                <w:sz w:val="20"/>
                <w:szCs w:val="20"/>
              </w:rPr>
            </w:pPr>
            <w:r>
              <w:rPr>
                <w:rFonts w:ascii="Arial" w:hAnsi="Arial" w:cs="Arial"/>
                <w:b/>
                <w:sz w:val="20"/>
                <w:szCs w:val="20"/>
              </w:rPr>
              <w:t>(149)</w:t>
            </w:r>
          </w:p>
        </w:tc>
      </w:tr>
      <w:tr w:rsidR="00D213D5" w:rsidRPr="003234C5" w14:paraId="75313E9D" w14:textId="77777777" w:rsidTr="00E82897">
        <w:trPr>
          <w:trHeight w:val="170"/>
        </w:trPr>
        <w:tc>
          <w:tcPr>
            <w:tcW w:w="5002" w:type="dxa"/>
            <w:shd w:val="clear" w:color="auto" w:fill="FFFFFF"/>
            <w:vAlign w:val="bottom"/>
          </w:tcPr>
          <w:p w14:paraId="31903A87" w14:textId="77777777" w:rsidR="00D213D5" w:rsidRPr="003234C5" w:rsidRDefault="00D213D5" w:rsidP="00D213D5">
            <w:pPr>
              <w:spacing w:after="0"/>
              <w:jc w:val="both"/>
              <w:rPr>
                <w:rFonts w:ascii="Arial" w:hAnsi="Arial" w:cs="Arial"/>
                <w:bCs/>
                <w:sz w:val="20"/>
                <w:szCs w:val="20"/>
              </w:rPr>
            </w:pPr>
            <w:r w:rsidRPr="003234C5">
              <w:rPr>
                <w:rFonts w:ascii="Arial" w:hAnsi="Arial" w:cs="Arial"/>
                <w:bCs/>
                <w:sz w:val="20"/>
                <w:szCs w:val="20"/>
              </w:rPr>
              <w:t xml:space="preserve">     Reversão de provisões não dedutíveis</w:t>
            </w:r>
          </w:p>
        </w:tc>
        <w:tc>
          <w:tcPr>
            <w:tcW w:w="2035" w:type="dxa"/>
            <w:shd w:val="clear" w:color="auto" w:fill="FFFFFF"/>
            <w:vAlign w:val="center"/>
          </w:tcPr>
          <w:p w14:paraId="05222550" w14:textId="77258D56" w:rsidR="00D213D5" w:rsidRPr="003234C5" w:rsidRDefault="00D213D5" w:rsidP="00D213D5">
            <w:pPr>
              <w:spacing w:after="0"/>
              <w:jc w:val="right"/>
              <w:rPr>
                <w:rFonts w:ascii="Arial" w:hAnsi="Arial" w:cs="Arial"/>
                <w:bCs/>
                <w:sz w:val="20"/>
                <w:szCs w:val="20"/>
              </w:rPr>
            </w:pPr>
            <w:r>
              <w:rPr>
                <w:rFonts w:ascii="Arial" w:hAnsi="Arial" w:cs="Arial"/>
                <w:bCs/>
                <w:sz w:val="20"/>
                <w:szCs w:val="20"/>
              </w:rPr>
              <w:t>(111)</w:t>
            </w:r>
          </w:p>
        </w:tc>
        <w:tc>
          <w:tcPr>
            <w:tcW w:w="2035" w:type="dxa"/>
            <w:shd w:val="clear" w:color="auto" w:fill="FFFFFF"/>
            <w:vAlign w:val="center"/>
          </w:tcPr>
          <w:p w14:paraId="09FE207E" w14:textId="0A83872D" w:rsidR="00D213D5" w:rsidRPr="003234C5" w:rsidRDefault="00D213D5" w:rsidP="00D213D5">
            <w:pPr>
              <w:spacing w:after="0"/>
              <w:jc w:val="right"/>
              <w:rPr>
                <w:rFonts w:ascii="Arial" w:hAnsi="Arial" w:cs="Arial"/>
                <w:bCs/>
                <w:kern w:val="2"/>
                <w:sz w:val="20"/>
                <w:szCs w:val="20"/>
              </w:rPr>
            </w:pPr>
            <w:r>
              <w:rPr>
                <w:rFonts w:ascii="Arial" w:hAnsi="Arial" w:cs="Arial"/>
                <w:bCs/>
                <w:kern w:val="2"/>
                <w:sz w:val="20"/>
                <w:szCs w:val="20"/>
              </w:rPr>
              <w:t>149</w:t>
            </w:r>
          </w:p>
        </w:tc>
      </w:tr>
      <w:tr w:rsidR="00D213D5" w:rsidRPr="003234C5" w14:paraId="62888B38" w14:textId="77777777" w:rsidTr="004D54FC">
        <w:trPr>
          <w:trHeight w:val="170"/>
        </w:trPr>
        <w:tc>
          <w:tcPr>
            <w:tcW w:w="5002" w:type="dxa"/>
            <w:shd w:val="clear" w:color="auto" w:fill="FFFFFF"/>
            <w:vAlign w:val="bottom"/>
          </w:tcPr>
          <w:p w14:paraId="56549887" w14:textId="77777777" w:rsidR="00D213D5" w:rsidRPr="003234C5" w:rsidRDefault="00D213D5" w:rsidP="00D213D5">
            <w:pPr>
              <w:suppressAutoHyphens w:val="0"/>
              <w:spacing w:after="0" w:line="240" w:lineRule="auto"/>
              <w:jc w:val="both"/>
              <w:rPr>
                <w:rFonts w:ascii="Arial" w:eastAsia="Times New Roman" w:hAnsi="Arial" w:cs="Arial"/>
                <w:color w:val="000000"/>
                <w:kern w:val="0"/>
                <w:sz w:val="20"/>
                <w:szCs w:val="20"/>
                <w:lang w:eastAsia="pt-BR"/>
              </w:rPr>
            </w:pPr>
            <w:r w:rsidRPr="003234C5">
              <w:rPr>
                <w:rFonts w:ascii="Arial" w:hAnsi="Arial" w:cs="Arial"/>
                <w:color w:val="000000"/>
                <w:sz w:val="20"/>
                <w:szCs w:val="20"/>
              </w:rPr>
              <w:t xml:space="preserve">     Reversão de aluguéis IFRS 16</w:t>
            </w:r>
          </w:p>
        </w:tc>
        <w:tc>
          <w:tcPr>
            <w:tcW w:w="2035" w:type="dxa"/>
            <w:shd w:val="clear" w:color="auto" w:fill="FFFFFF"/>
            <w:vAlign w:val="center"/>
          </w:tcPr>
          <w:p w14:paraId="066C64F0" w14:textId="265F9C59" w:rsidR="00D213D5" w:rsidRPr="007B2086" w:rsidRDefault="00D213D5" w:rsidP="00D213D5">
            <w:pPr>
              <w:autoSpaceDE w:val="0"/>
              <w:autoSpaceDN w:val="0"/>
              <w:adjustRightInd w:val="0"/>
              <w:spacing w:after="0"/>
              <w:jc w:val="right"/>
              <w:rPr>
                <w:rFonts w:ascii="Arial" w:hAnsi="Arial" w:cs="Arial"/>
                <w:color w:val="000000"/>
                <w:sz w:val="20"/>
                <w:szCs w:val="20"/>
              </w:rPr>
            </w:pPr>
            <w:r w:rsidRPr="007B2086">
              <w:rPr>
                <w:rFonts w:ascii="Arial" w:hAnsi="Arial" w:cs="Arial"/>
                <w:color w:val="000000"/>
                <w:sz w:val="20"/>
                <w:szCs w:val="20"/>
              </w:rPr>
              <w:t>(2.267)</w:t>
            </w:r>
          </w:p>
        </w:tc>
        <w:tc>
          <w:tcPr>
            <w:tcW w:w="2035" w:type="dxa"/>
            <w:shd w:val="clear" w:color="auto" w:fill="FFFFFF"/>
            <w:vAlign w:val="center"/>
          </w:tcPr>
          <w:p w14:paraId="07690243" w14:textId="568D7530" w:rsidR="00D213D5" w:rsidRPr="007B2086" w:rsidRDefault="00D213D5" w:rsidP="00D213D5">
            <w:pPr>
              <w:autoSpaceDE w:val="0"/>
              <w:autoSpaceDN w:val="0"/>
              <w:adjustRightInd w:val="0"/>
              <w:spacing w:after="0"/>
              <w:jc w:val="right"/>
              <w:rPr>
                <w:rFonts w:ascii="Arial" w:hAnsi="Arial" w:cs="Arial"/>
                <w:color w:val="000000"/>
                <w:sz w:val="20"/>
                <w:szCs w:val="20"/>
              </w:rPr>
            </w:pPr>
            <w:r w:rsidRPr="007B2086">
              <w:rPr>
                <w:rFonts w:ascii="Arial" w:hAnsi="Arial" w:cs="Arial"/>
                <w:color w:val="000000"/>
                <w:sz w:val="20"/>
                <w:szCs w:val="20"/>
              </w:rPr>
              <w:t>-</w:t>
            </w:r>
          </w:p>
        </w:tc>
      </w:tr>
      <w:tr w:rsidR="00D213D5" w:rsidRPr="003234C5" w14:paraId="4D4320A7" w14:textId="77777777" w:rsidTr="00E82897">
        <w:trPr>
          <w:trHeight w:val="170"/>
        </w:trPr>
        <w:tc>
          <w:tcPr>
            <w:tcW w:w="5002" w:type="dxa"/>
            <w:shd w:val="clear" w:color="auto" w:fill="FFFFFF"/>
            <w:vAlign w:val="bottom"/>
          </w:tcPr>
          <w:p w14:paraId="3C06B228" w14:textId="77777777" w:rsidR="00D213D5" w:rsidRPr="003234C5" w:rsidRDefault="00D213D5" w:rsidP="00D213D5">
            <w:pPr>
              <w:autoSpaceDE w:val="0"/>
              <w:autoSpaceDN w:val="0"/>
              <w:adjustRightInd w:val="0"/>
              <w:spacing w:after="0"/>
              <w:jc w:val="both"/>
              <w:rPr>
                <w:rFonts w:ascii="Arial" w:hAnsi="Arial" w:cs="Arial"/>
                <w:b/>
                <w:sz w:val="20"/>
                <w:szCs w:val="20"/>
              </w:rPr>
            </w:pPr>
            <w:r w:rsidRPr="003234C5">
              <w:rPr>
                <w:rFonts w:ascii="Arial" w:hAnsi="Arial" w:cs="Arial"/>
                <w:b/>
                <w:sz w:val="20"/>
                <w:szCs w:val="20"/>
              </w:rPr>
              <w:t>Alíquota</w:t>
            </w:r>
          </w:p>
        </w:tc>
        <w:tc>
          <w:tcPr>
            <w:tcW w:w="2035" w:type="dxa"/>
            <w:shd w:val="clear" w:color="auto" w:fill="FFFFFF"/>
            <w:vAlign w:val="center"/>
          </w:tcPr>
          <w:p w14:paraId="67ED7285" w14:textId="795A98CD" w:rsidR="00D213D5" w:rsidRPr="003234C5" w:rsidRDefault="00D213D5" w:rsidP="00D213D5">
            <w:pPr>
              <w:autoSpaceDE w:val="0"/>
              <w:autoSpaceDN w:val="0"/>
              <w:adjustRightInd w:val="0"/>
              <w:spacing w:after="0"/>
              <w:jc w:val="right"/>
              <w:rPr>
                <w:rFonts w:ascii="Arial" w:hAnsi="Arial" w:cs="Arial"/>
                <w:b/>
                <w:sz w:val="20"/>
                <w:szCs w:val="20"/>
              </w:rPr>
            </w:pPr>
            <w:r>
              <w:rPr>
                <w:rFonts w:ascii="Arial" w:hAnsi="Arial" w:cs="Arial"/>
                <w:b/>
                <w:sz w:val="20"/>
                <w:szCs w:val="20"/>
              </w:rPr>
              <w:t>25%</w:t>
            </w:r>
          </w:p>
        </w:tc>
        <w:tc>
          <w:tcPr>
            <w:tcW w:w="2035" w:type="dxa"/>
            <w:shd w:val="clear" w:color="auto" w:fill="FFFFFF"/>
            <w:vAlign w:val="center"/>
          </w:tcPr>
          <w:p w14:paraId="1B4F5380" w14:textId="5404DF4F" w:rsidR="00D213D5" w:rsidRPr="003234C5" w:rsidRDefault="00D213D5" w:rsidP="00D213D5">
            <w:pPr>
              <w:autoSpaceDE w:val="0"/>
              <w:autoSpaceDN w:val="0"/>
              <w:adjustRightInd w:val="0"/>
              <w:spacing w:after="0"/>
              <w:jc w:val="right"/>
              <w:rPr>
                <w:rFonts w:ascii="Arial" w:hAnsi="Arial" w:cs="Arial"/>
                <w:b/>
                <w:sz w:val="20"/>
                <w:szCs w:val="20"/>
              </w:rPr>
            </w:pPr>
            <w:r>
              <w:rPr>
                <w:rFonts w:ascii="Arial" w:hAnsi="Arial" w:cs="Arial"/>
                <w:b/>
                <w:sz w:val="20"/>
                <w:szCs w:val="20"/>
              </w:rPr>
              <w:t>25%</w:t>
            </w:r>
          </w:p>
        </w:tc>
      </w:tr>
      <w:tr w:rsidR="00D213D5" w:rsidRPr="003234C5" w14:paraId="67751166" w14:textId="77777777" w:rsidTr="00E82897">
        <w:trPr>
          <w:trHeight w:val="170"/>
        </w:trPr>
        <w:tc>
          <w:tcPr>
            <w:tcW w:w="5002" w:type="dxa"/>
            <w:shd w:val="clear" w:color="auto" w:fill="FFFFFF"/>
            <w:vAlign w:val="bottom"/>
          </w:tcPr>
          <w:p w14:paraId="234887A1" w14:textId="77777777" w:rsidR="00D213D5" w:rsidRPr="003234C5" w:rsidRDefault="00D213D5" w:rsidP="00D213D5">
            <w:pPr>
              <w:spacing w:after="0"/>
              <w:jc w:val="both"/>
              <w:rPr>
                <w:rFonts w:ascii="Arial" w:hAnsi="Arial" w:cs="Arial"/>
                <w:bCs/>
                <w:sz w:val="20"/>
                <w:szCs w:val="20"/>
              </w:rPr>
            </w:pPr>
            <w:bookmarkStart w:id="46" w:name="_Hlk506334044"/>
            <w:r w:rsidRPr="003234C5">
              <w:rPr>
                <w:rFonts w:ascii="Arial" w:hAnsi="Arial" w:cs="Arial"/>
                <w:bCs/>
                <w:sz w:val="20"/>
                <w:szCs w:val="20"/>
              </w:rPr>
              <w:t>Imposto de renda corrente</w:t>
            </w:r>
          </w:p>
        </w:tc>
        <w:tc>
          <w:tcPr>
            <w:tcW w:w="2035" w:type="dxa"/>
            <w:shd w:val="clear" w:color="auto" w:fill="FFFFFF"/>
            <w:vAlign w:val="center"/>
          </w:tcPr>
          <w:p w14:paraId="3087E09D" w14:textId="61B0E9EF" w:rsidR="00D213D5" w:rsidRPr="003234C5" w:rsidRDefault="00D213D5" w:rsidP="00D213D5">
            <w:pPr>
              <w:spacing w:after="0"/>
              <w:jc w:val="right"/>
              <w:rPr>
                <w:rFonts w:ascii="Arial" w:hAnsi="Arial" w:cs="Arial"/>
                <w:sz w:val="20"/>
                <w:szCs w:val="20"/>
              </w:rPr>
            </w:pPr>
            <w:r>
              <w:rPr>
                <w:rFonts w:ascii="Arial" w:hAnsi="Arial" w:cs="Arial"/>
                <w:sz w:val="20"/>
                <w:szCs w:val="20"/>
              </w:rPr>
              <w:t>(15.919)</w:t>
            </w:r>
          </w:p>
        </w:tc>
        <w:tc>
          <w:tcPr>
            <w:tcW w:w="2035" w:type="dxa"/>
            <w:shd w:val="clear" w:color="auto" w:fill="FFFFFF"/>
            <w:vAlign w:val="center"/>
          </w:tcPr>
          <w:p w14:paraId="67C0B88E" w14:textId="023BDB9B" w:rsidR="00D213D5" w:rsidRPr="003234C5" w:rsidRDefault="00D213D5" w:rsidP="00D213D5">
            <w:pPr>
              <w:spacing w:after="0"/>
              <w:jc w:val="right"/>
              <w:rPr>
                <w:rFonts w:ascii="Arial" w:hAnsi="Arial" w:cs="Arial"/>
                <w:sz w:val="20"/>
                <w:szCs w:val="20"/>
              </w:rPr>
            </w:pPr>
            <w:r>
              <w:rPr>
                <w:rFonts w:ascii="Arial" w:hAnsi="Arial" w:cs="Arial"/>
                <w:sz w:val="20"/>
                <w:szCs w:val="20"/>
              </w:rPr>
              <w:t>(14.414)</w:t>
            </w:r>
          </w:p>
        </w:tc>
      </w:tr>
      <w:tr w:rsidR="00D213D5" w:rsidRPr="003234C5" w14:paraId="0C5C01C5" w14:textId="77777777" w:rsidTr="00E82897">
        <w:trPr>
          <w:trHeight w:val="170"/>
        </w:trPr>
        <w:tc>
          <w:tcPr>
            <w:tcW w:w="5002" w:type="dxa"/>
            <w:shd w:val="clear" w:color="auto" w:fill="FFFFFF"/>
            <w:vAlign w:val="bottom"/>
          </w:tcPr>
          <w:p w14:paraId="112972E3" w14:textId="77777777" w:rsidR="00D213D5" w:rsidRPr="003234C5" w:rsidRDefault="00D213D5" w:rsidP="00D213D5">
            <w:pPr>
              <w:spacing w:after="0"/>
              <w:jc w:val="both"/>
              <w:rPr>
                <w:rFonts w:ascii="Arial" w:hAnsi="Arial" w:cs="Arial"/>
                <w:bCs/>
                <w:sz w:val="20"/>
                <w:szCs w:val="20"/>
              </w:rPr>
            </w:pPr>
            <w:r w:rsidRPr="003234C5">
              <w:rPr>
                <w:rFonts w:ascii="Arial" w:hAnsi="Arial" w:cs="Arial"/>
                <w:bCs/>
                <w:sz w:val="20"/>
                <w:szCs w:val="20"/>
              </w:rPr>
              <w:t>Imposto de renda diferido</w:t>
            </w:r>
          </w:p>
        </w:tc>
        <w:tc>
          <w:tcPr>
            <w:tcW w:w="2035" w:type="dxa"/>
            <w:shd w:val="clear" w:color="auto" w:fill="FFFFFF"/>
            <w:vAlign w:val="center"/>
          </w:tcPr>
          <w:p w14:paraId="7E293977" w14:textId="7CD4FC82" w:rsidR="00D213D5" w:rsidRPr="003234C5" w:rsidRDefault="00D213D5" w:rsidP="00D213D5">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1.128</w:t>
            </w:r>
          </w:p>
        </w:tc>
        <w:tc>
          <w:tcPr>
            <w:tcW w:w="2035" w:type="dxa"/>
            <w:shd w:val="clear" w:color="auto" w:fill="FFFFFF"/>
            <w:vAlign w:val="center"/>
          </w:tcPr>
          <w:p w14:paraId="0E8E839E" w14:textId="67C4F809" w:rsidR="00D213D5" w:rsidRPr="003234C5" w:rsidRDefault="00D213D5" w:rsidP="00D213D5">
            <w:pPr>
              <w:spacing w:after="0"/>
              <w:jc w:val="right"/>
              <w:rPr>
                <w:rFonts w:ascii="Arial" w:hAnsi="Arial" w:cs="Arial"/>
                <w:sz w:val="20"/>
                <w:szCs w:val="20"/>
              </w:rPr>
            </w:pPr>
            <w:r>
              <w:rPr>
                <w:rFonts w:ascii="Arial" w:hAnsi="Arial" w:cs="Arial"/>
                <w:sz w:val="20"/>
                <w:szCs w:val="20"/>
              </w:rPr>
              <w:t>1.061</w:t>
            </w:r>
          </w:p>
        </w:tc>
      </w:tr>
      <w:bookmarkEnd w:id="46"/>
      <w:tr w:rsidR="00D213D5" w:rsidRPr="003234C5" w14:paraId="0F13D949" w14:textId="77777777" w:rsidTr="00E82897">
        <w:trPr>
          <w:trHeight w:val="170"/>
        </w:trPr>
        <w:tc>
          <w:tcPr>
            <w:tcW w:w="5002" w:type="dxa"/>
            <w:shd w:val="clear" w:color="auto" w:fill="C0C0C0"/>
            <w:vAlign w:val="bottom"/>
          </w:tcPr>
          <w:p w14:paraId="40BC8CFA" w14:textId="77777777" w:rsidR="00D213D5" w:rsidRPr="003234C5" w:rsidRDefault="00D213D5" w:rsidP="00D213D5">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w:t>
            </w:r>
          </w:p>
        </w:tc>
        <w:tc>
          <w:tcPr>
            <w:tcW w:w="2035" w:type="dxa"/>
            <w:shd w:val="clear" w:color="auto" w:fill="C0C0C0"/>
            <w:vAlign w:val="center"/>
          </w:tcPr>
          <w:p w14:paraId="1C792552" w14:textId="5C049E0A" w:rsidR="00D213D5" w:rsidRPr="003234C5" w:rsidRDefault="00D213D5" w:rsidP="00D213D5">
            <w:pPr>
              <w:autoSpaceDE w:val="0"/>
              <w:autoSpaceDN w:val="0"/>
              <w:adjustRightInd w:val="0"/>
              <w:spacing w:after="0"/>
              <w:jc w:val="right"/>
              <w:rPr>
                <w:rFonts w:ascii="Arial" w:hAnsi="Arial" w:cs="Arial"/>
                <w:b/>
                <w:sz w:val="20"/>
                <w:szCs w:val="20"/>
              </w:rPr>
            </w:pPr>
            <w:r>
              <w:rPr>
                <w:rFonts w:ascii="Arial" w:hAnsi="Arial" w:cs="Arial"/>
                <w:b/>
                <w:sz w:val="20"/>
                <w:szCs w:val="20"/>
              </w:rPr>
              <w:t>(14.791)</w:t>
            </w:r>
          </w:p>
        </w:tc>
        <w:tc>
          <w:tcPr>
            <w:tcW w:w="2035" w:type="dxa"/>
            <w:shd w:val="clear" w:color="auto" w:fill="C0C0C0"/>
            <w:vAlign w:val="center"/>
          </w:tcPr>
          <w:p w14:paraId="6E996DBD" w14:textId="73335987" w:rsidR="00D213D5" w:rsidRPr="003234C5" w:rsidRDefault="00D213D5" w:rsidP="00D213D5">
            <w:pPr>
              <w:autoSpaceDE w:val="0"/>
              <w:autoSpaceDN w:val="0"/>
              <w:adjustRightInd w:val="0"/>
              <w:spacing w:after="0"/>
              <w:jc w:val="right"/>
              <w:rPr>
                <w:rFonts w:ascii="Arial" w:hAnsi="Arial" w:cs="Arial"/>
                <w:b/>
                <w:sz w:val="20"/>
                <w:szCs w:val="20"/>
              </w:rPr>
            </w:pPr>
            <w:r>
              <w:rPr>
                <w:rFonts w:ascii="Arial" w:hAnsi="Arial" w:cs="Arial"/>
                <w:b/>
                <w:sz w:val="20"/>
                <w:szCs w:val="20"/>
              </w:rPr>
              <w:t>(13.353)</w:t>
            </w:r>
          </w:p>
        </w:tc>
      </w:tr>
    </w:tbl>
    <w:p w14:paraId="2E4A8939" w14:textId="77777777" w:rsidR="00FD5629" w:rsidRPr="003234C5" w:rsidRDefault="00FD5629" w:rsidP="00200682">
      <w:pPr>
        <w:autoSpaceDE w:val="0"/>
        <w:autoSpaceDN w:val="0"/>
        <w:adjustRightInd w:val="0"/>
        <w:jc w:val="both"/>
        <w:rPr>
          <w:rFonts w:ascii="Arial" w:hAnsi="Arial" w:cs="Arial"/>
        </w:rPr>
      </w:pPr>
    </w:p>
    <w:p w14:paraId="07836F1C" w14:textId="0C13F4C0" w:rsidR="00200682" w:rsidRPr="003234C5" w:rsidRDefault="00200682" w:rsidP="00200682">
      <w:pPr>
        <w:autoSpaceDE w:val="0"/>
        <w:autoSpaceDN w:val="0"/>
        <w:adjustRightInd w:val="0"/>
        <w:jc w:val="both"/>
        <w:rPr>
          <w:rFonts w:ascii="Arial" w:hAnsi="Arial" w:cs="Arial"/>
        </w:rPr>
      </w:pPr>
      <w:r w:rsidRPr="003234C5">
        <w:rPr>
          <w:rFonts w:ascii="Arial" w:hAnsi="Arial" w:cs="Arial"/>
        </w:rPr>
        <w:t>Conforme determina a NBC TG 32 (R3) – Tributos sobre o Lucro</w:t>
      </w:r>
      <w:r w:rsidR="00957D36" w:rsidRPr="003234C5">
        <w:rPr>
          <w:rFonts w:ascii="Arial" w:hAnsi="Arial" w:cs="Arial"/>
        </w:rPr>
        <w:t>,</w:t>
      </w:r>
      <w:r w:rsidRPr="003234C5">
        <w:rPr>
          <w:rFonts w:ascii="Arial" w:hAnsi="Arial" w:cs="Arial"/>
        </w:rPr>
        <w:t xml:space="preserve"> </w:t>
      </w:r>
      <w:r w:rsidR="00957D36" w:rsidRPr="003234C5">
        <w:rPr>
          <w:rFonts w:ascii="Arial" w:hAnsi="Arial" w:cs="Arial"/>
        </w:rPr>
        <w:t xml:space="preserve">foram </w:t>
      </w:r>
      <w:r w:rsidRPr="003234C5">
        <w:rPr>
          <w:rFonts w:ascii="Arial" w:hAnsi="Arial" w:cs="Arial"/>
        </w:rPr>
        <w:t>constituído</w:t>
      </w:r>
      <w:r w:rsidR="00957D36" w:rsidRPr="003234C5">
        <w:rPr>
          <w:rFonts w:ascii="Arial" w:hAnsi="Arial" w:cs="Arial"/>
        </w:rPr>
        <w:t>s</w:t>
      </w:r>
      <w:r w:rsidRPr="003234C5">
        <w:rPr>
          <w:rFonts w:ascii="Arial" w:hAnsi="Arial" w:cs="Arial"/>
        </w:rPr>
        <w:t xml:space="preserve"> no exercício os valores do Imposto de Renda e Contribuição Social Diferidos, calculados sobre as diferenças temporárias dedutíveis existentes na data do balanço e, apurados com base nas provisões para riscos fiscais e passivos contingentes, sendo tais valores adicionados à base de cálculo do lucro real. </w:t>
      </w:r>
    </w:p>
    <w:p w14:paraId="5C4792C1" w14:textId="23C15437" w:rsidR="00C62487" w:rsidRPr="003234C5" w:rsidRDefault="00B3256F" w:rsidP="00200682">
      <w:pPr>
        <w:autoSpaceDE w:val="0"/>
        <w:autoSpaceDN w:val="0"/>
        <w:adjustRightInd w:val="0"/>
        <w:jc w:val="both"/>
        <w:rPr>
          <w:rFonts w:ascii="Arial" w:hAnsi="Arial" w:cs="Arial"/>
        </w:rPr>
      </w:pPr>
      <w:r w:rsidRPr="003234C5">
        <w:rPr>
          <w:rFonts w:ascii="Arial" w:hAnsi="Arial" w:cs="Arial"/>
        </w:rPr>
        <w:t xml:space="preserve">A </w:t>
      </w:r>
      <w:r w:rsidR="00200682" w:rsidRPr="003234C5">
        <w:rPr>
          <w:rFonts w:ascii="Arial" w:hAnsi="Arial" w:cs="Arial"/>
        </w:rPr>
        <w:t xml:space="preserve">previsão fornecida pelos advogados </w:t>
      </w:r>
      <w:r w:rsidRPr="003234C5">
        <w:rPr>
          <w:rFonts w:ascii="Arial" w:hAnsi="Arial" w:cs="Arial"/>
        </w:rPr>
        <w:t xml:space="preserve">da Companhia </w:t>
      </w:r>
      <w:r w:rsidR="00200682" w:rsidRPr="003234C5">
        <w:rPr>
          <w:rFonts w:ascii="Arial" w:hAnsi="Arial" w:cs="Arial"/>
        </w:rPr>
        <w:t>para o desfecho dessas diferenças tempor</w:t>
      </w:r>
      <w:r w:rsidR="00A76367" w:rsidRPr="003234C5">
        <w:rPr>
          <w:rFonts w:ascii="Arial" w:hAnsi="Arial" w:cs="Arial"/>
        </w:rPr>
        <w:t>árias</w:t>
      </w:r>
      <w:r w:rsidR="00200682" w:rsidRPr="003234C5">
        <w:rPr>
          <w:rFonts w:ascii="Arial" w:hAnsi="Arial" w:cs="Arial"/>
        </w:rPr>
        <w:t xml:space="preserve"> ocorrerá até o exercício findo em dezembro de 2022.</w:t>
      </w:r>
    </w:p>
    <w:p w14:paraId="31553686" w14:textId="77777777" w:rsidR="00200682" w:rsidRPr="003234C5" w:rsidRDefault="00200682" w:rsidP="00200682">
      <w:pPr>
        <w:autoSpaceDE w:val="0"/>
        <w:autoSpaceDN w:val="0"/>
        <w:adjustRightInd w:val="0"/>
        <w:jc w:val="both"/>
        <w:rPr>
          <w:rFonts w:ascii="Arial" w:hAnsi="Arial" w:cs="Arial"/>
        </w:rPr>
      </w:pPr>
      <w:r w:rsidRPr="003234C5">
        <w:rPr>
          <w:rFonts w:ascii="Arial" w:hAnsi="Arial" w:cs="Arial"/>
        </w:rPr>
        <w:t xml:space="preserve">Os </w:t>
      </w:r>
      <w:r w:rsidRPr="00845A19">
        <w:rPr>
          <w:rFonts w:ascii="Arial" w:hAnsi="Arial" w:cs="Arial"/>
        </w:rPr>
        <w:t>valores pagos</w:t>
      </w:r>
      <w:r w:rsidRPr="003234C5">
        <w:rPr>
          <w:rFonts w:ascii="Arial" w:hAnsi="Arial" w:cs="Arial"/>
        </w:rPr>
        <w:t xml:space="preserve"> correspondentes ao Imposto de Renda Pessoa Jurídica e Contribuição Social sobre o Lucro Líquido estão demonstrados na tabela abaixo:</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536"/>
        <w:gridCol w:w="1768"/>
        <w:gridCol w:w="1768"/>
      </w:tblGrid>
      <w:tr w:rsidR="009B34F5" w:rsidRPr="003234C5" w14:paraId="2C7AA17A" w14:textId="77777777" w:rsidTr="00BC3BF0">
        <w:trPr>
          <w:trHeight w:val="170"/>
        </w:trPr>
        <w:tc>
          <w:tcPr>
            <w:tcW w:w="5536" w:type="dxa"/>
            <w:shd w:val="clear" w:color="auto" w:fill="C0C0C0"/>
            <w:vAlign w:val="center"/>
          </w:tcPr>
          <w:p w14:paraId="44C9A32D" w14:textId="77777777" w:rsidR="00895E05" w:rsidRPr="003234C5" w:rsidRDefault="00895E05" w:rsidP="00895E05">
            <w:pPr>
              <w:autoSpaceDE w:val="0"/>
              <w:autoSpaceDN w:val="0"/>
              <w:adjustRightInd w:val="0"/>
              <w:spacing w:after="0"/>
              <w:jc w:val="both"/>
              <w:rPr>
                <w:rFonts w:ascii="Arial" w:hAnsi="Arial" w:cs="Arial"/>
                <w:b/>
                <w:sz w:val="20"/>
                <w:szCs w:val="20"/>
              </w:rPr>
            </w:pPr>
          </w:p>
        </w:tc>
        <w:tc>
          <w:tcPr>
            <w:tcW w:w="1768" w:type="dxa"/>
            <w:shd w:val="clear" w:color="auto" w:fill="C0C0C0"/>
            <w:vAlign w:val="bottom"/>
          </w:tcPr>
          <w:p w14:paraId="0685BD6F" w14:textId="2F9E9121" w:rsidR="00895E05" w:rsidRPr="003234C5" w:rsidRDefault="00C6257E" w:rsidP="00895E05">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768" w:type="dxa"/>
            <w:shd w:val="clear" w:color="auto" w:fill="C0C0C0"/>
            <w:vAlign w:val="bottom"/>
          </w:tcPr>
          <w:p w14:paraId="53C0F4C2" w14:textId="6F7EABBF" w:rsidR="00895E05" w:rsidRPr="003234C5" w:rsidRDefault="00C6257E" w:rsidP="00895E05">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9B34F5" w:rsidRPr="003234C5" w14:paraId="78FB1F11" w14:textId="77777777" w:rsidTr="00BC3BF0">
        <w:trPr>
          <w:trHeight w:val="170"/>
        </w:trPr>
        <w:tc>
          <w:tcPr>
            <w:tcW w:w="5536" w:type="dxa"/>
            <w:shd w:val="clear" w:color="auto" w:fill="FFFFFF"/>
            <w:vAlign w:val="bottom"/>
          </w:tcPr>
          <w:p w14:paraId="7791877B"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 xml:space="preserve">Imposto de Renda (IRPJ) </w:t>
            </w:r>
          </w:p>
        </w:tc>
        <w:tc>
          <w:tcPr>
            <w:tcW w:w="1768" w:type="dxa"/>
            <w:shd w:val="clear" w:color="auto" w:fill="FFFFFF"/>
            <w:vAlign w:val="center"/>
          </w:tcPr>
          <w:p w14:paraId="2507626F" w14:textId="42EDCCAB" w:rsidR="00D27171" w:rsidRPr="00371837" w:rsidRDefault="00E0744F" w:rsidP="00D27171">
            <w:pPr>
              <w:spacing w:after="0"/>
              <w:jc w:val="right"/>
              <w:rPr>
                <w:rFonts w:ascii="Arial" w:hAnsi="Arial" w:cs="Arial"/>
                <w:sz w:val="20"/>
                <w:szCs w:val="20"/>
                <w:highlight w:val="yellow"/>
              </w:rPr>
            </w:pPr>
            <w:r w:rsidRPr="00845A19">
              <w:rPr>
                <w:rFonts w:ascii="Arial" w:hAnsi="Arial" w:cs="Arial"/>
                <w:sz w:val="20"/>
                <w:szCs w:val="20"/>
              </w:rPr>
              <w:t>3.393</w:t>
            </w:r>
          </w:p>
        </w:tc>
        <w:tc>
          <w:tcPr>
            <w:tcW w:w="1768" w:type="dxa"/>
            <w:shd w:val="clear" w:color="auto" w:fill="FFFFFF"/>
            <w:vAlign w:val="center"/>
          </w:tcPr>
          <w:p w14:paraId="275813C4" w14:textId="6ADBD7F9" w:rsidR="00D27171" w:rsidRPr="00371837" w:rsidRDefault="00252305" w:rsidP="00D27171">
            <w:pPr>
              <w:spacing w:after="0"/>
              <w:jc w:val="right"/>
              <w:rPr>
                <w:rFonts w:ascii="Arial" w:hAnsi="Arial" w:cs="Arial"/>
                <w:sz w:val="20"/>
                <w:szCs w:val="20"/>
                <w:highlight w:val="yellow"/>
              </w:rPr>
            </w:pPr>
            <w:r>
              <w:rPr>
                <w:rFonts w:ascii="Arial" w:hAnsi="Arial" w:cs="Arial"/>
                <w:bCs/>
                <w:sz w:val="20"/>
                <w:szCs w:val="20"/>
              </w:rPr>
              <w:t>2.626</w:t>
            </w:r>
          </w:p>
        </w:tc>
      </w:tr>
      <w:tr w:rsidR="009B34F5" w:rsidRPr="003234C5" w14:paraId="16395EC6" w14:textId="77777777" w:rsidTr="00BC3BF0">
        <w:trPr>
          <w:trHeight w:val="170"/>
        </w:trPr>
        <w:tc>
          <w:tcPr>
            <w:tcW w:w="5536" w:type="dxa"/>
            <w:shd w:val="clear" w:color="auto" w:fill="FFFFFF"/>
            <w:vAlign w:val="bottom"/>
          </w:tcPr>
          <w:p w14:paraId="54E3B959" w14:textId="77777777" w:rsidR="00D27171" w:rsidRPr="003234C5" w:rsidRDefault="00D27171" w:rsidP="00D27171">
            <w:pPr>
              <w:spacing w:after="0"/>
              <w:jc w:val="both"/>
              <w:rPr>
                <w:rFonts w:ascii="Arial" w:hAnsi="Arial" w:cs="Arial"/>
                <w:bCs/>
                <w:sz w:val="20"/>
                <w:szCs w:val="20"/>
              </w:rPr>
            </w:pPr>
            <w:r w:rsidRPr="003234C5">
              <w:rPr>
                <w:rFonts w:ascii="Arial" w:hAnsi="Arial" w:cs="Arial"/>
                <w:bCs/>
                <w:sz w:val="20"/>
                <w:szCs w:val="20"/>
              </w:rPr>
              <w:t>Contribuição Social sobre o Lucro Líquido (CSLL)</w:t>
            </w:r>
          </w:p>
        </w:tc>
        <w:tc>
          <w:tcPr>
            <w:tcW w:w="1768" w:type="dxa"/>
            <w:shd w:val="clear" w:color="auto" w:fill="FFFFFF"/>
            <w:vAlign w:val="center"/>
          </w:tcPr>
          <w:p w14:paraId="3F4A7402" w14:textId="22F7ECF6" w:rsidR="00D27171" w:rsidRPr="003234C5" w:rsidRDefault="00B45095" w:rsidP="00D27171">
            <w:pPr>
              <w:spacing w:after="0"/>
              <w:jc w:val="right"/>
              <w:rPr>
                <w:rFonts w:ascii="Arial" w:hAnsi="Arial" w:cs="Arial"/>
                <w:bCs/>
                <w:sz w:val="20"/>
                <w:szCs w:val="20"/>
              </w:rPr>
            </w:pPr>
            <w:r>
              <w:rPr>
                <w:rFonts w:ascii="Arial" w:hAnsi="Arial" w:cs="Arial"/>
                <w:bCs/>
                <w:sz w:val="20"/>
                <w:szCs w:val="20"/>
              </w:rPr>
              <w:t>6.</w:t>
            </w:r>
            <w:r w:rsidR="00FC7CC1">
              <w:rPr>
                <w:rFonts w:ascii="Arial" w:hAnsi="Arial" w:cs="Arial"/>
                <w:bCs/>
                <w:sz w:val="20"/>
                <w:szCs w:val="20"/>
              </w:rPr>
              <w:t>087</w:t>
            </w:r>
          </w:p>
        </w:tc>
        <w:tc>
          <w:tcPr>
            <w:tcW w:w="1768" w:type="dxa"/>
            <w:shd w:val="clear" w:color="auto" w:fill="FFFFFF"/>
            <w:vAlign w:val="center"/>
          </w:tcPr>
          <w:p w14:paraId="2651410D" w14:textId="0CA56F6A" w:rsidR="00D27171" w:rsidRPr="003234C5" w:rsidRDefault="002A40CE" w:rsidP="00D27171">
            <w:pPr>
              <w:spacing w:after="0"/>
              <w:jc w:val="right"/>
              <w:rPr>
                <w:rFonts w:ascii="Arial" w:hAnsi="Arial" w:cs="Arial"/>
                <w:bCs/>
                <w:sz w:val="20"/>
                <w:szCs w:val="20"/>
              </w:rPr>
            </w:pPr>
            <w:r>
              <w:rPr>
                <w:rFonts w:ascii="Arial" w:hAnsi="Arial" w:cs="Arial"/>
                <w:bCs/>
                <w:sz w:val="20"/>
                <w:szCs w:val="20"/>
              </w:rPr>
              <w:t>5.337</w:t>
            </w:r>
          </w:p>
        </w:tc>
      </w:tr>
      <w:tr w:rsidR="009B34F5" w:rsidRPr="003234C5" w14:paraId="1E334821" w14:textId="77777777" w:rsidTr="00BC3BF0">
        <w:trPr>
          <w:trHeight w:val="170"/>
        </w:trPr>
        <w:tc>
          <w:tcPr>
            <w:tcW w:w="5536" w:type="dxa"/>
            <w:shd w:val="clear" w:color="auto" w:fill="FFFFFF"/>
            <w:vAlign w:val="bottom"/>
          </w:tcPr>
          <w:p w14:paraId="31F59D9C" w14:textId="77777777" w:rsidR="00D27171" w:rsidRPr="003234C5" w:rsidRDefault="00D27171" w:rsidP="00D27171">
            <w:pPr>
              <w:spacing w:after="0"/>
              <w:jc w:val="both"/>
              <w:rPr>
                <w:rFonts w:ascii="Arial" w:hAnsi="Arial" w:cs="Arial"/>
                <w:b/>
                <w:bCs/>
                <w:sz w:val="20"/>
                <w:szCs w:val="20"/>
              </w:rPr>
            </w:pPr>
            <w:r w:rsidRPr="003234C5">
              <w:rPr>
                <w:rFonts w:ascii="Arial" w:hAnsi="Arial" w:cs="Arial"/>
                <w:b/>
                <w:bCs/>
                <w:sz w:val="20"/>
                <w:szCs w:val="20"/>
              </w:rPr>
              <w:t xml:space="preserve">Total </w:t>
            </w:r>
          </w:p>
        </w:tc>
        <w:tc>
          <w:tcPr>
            <w:tcW w:w="1768" w:type="dxa"/>
            <w:shd w:val="clear" w:color="auto" w:fill="FFFFFF"/>
            <w:vAlign w:val="center"/>
          </w:tcPr>
          <w:p w14:paraId="36AC2EAF" w14:textId="30AEE6EE" w:rsidR="00D27171" w:rsidRPr="003234C5" w:rsidRDefault="009729BA" w:rsidP="00D27171">
            <w:pPr>
              <w:spacing w:after="0"/>
              <w:jc w:val="right"/>
              <w:rPr>
                <w:rFonts w:ascii="Arial" w:hAnsi="Arial" w:cs="Arial"/>
                <w:b/>
                <w:sz w:val="20"/>
                <w:szCs w:val="20"/>
              </w:rPr>
            </w:pPr>
            <w:r>
              <w:rPr>
                <w:rFonts w:ascii="Arial" w:hAnsi="Arial" w:cs="Arial"/>
                <w:b/>
                <w:sz w:val="20"/>
                <w:szCs w:val="20"/>
              </w:rPr>
              <w:t>9.480</w:t>
            </w:r>
          </w:p>
        </w:tc>
        <w:tc>
          <w:tcPr>
            <w:tcW w:w="1768" w:type="dxa"/>
            <w:shd w:val="clear" w:color="auto" w:fill="FFFFFF"/>
            <w:vAlign w:val="center"/>
          </w:tcPr>
          <w:p w14:paraId="0687AE38" w14:textId="0AB5C34D" w:rsidR="00D27171" w:rsidRPr="003234C5" w:rsidRDefault="002A40CE" w:rsidP="00D27171">
            <w:pPr>
              <w:spacing w:after="0"/>
              <w:jc w:val="right"/>
              <w:rPr>
                <w:rFonts w:ascii="Arial" w:hAnsi="Arial" w:cs="Arial"/>
                <w:b/>
                <w:sz w:val="20"/>
                <w:szCs w:val="20"/>
              </w:rPr>
            </w:pPr>
            <w:r>
              <w:rPr>
                <w:rFonts w:ascii="Arial" w:hAnsi="Arial" w:cs="Arial"/>
                <w:b/>
                <w:sz w:val="20"/>
                <w:szCs w:val="20"/>
              </w:rPr>
              <w:t>7.963</w:t>
            </w:r>
          </w:p>
        </w:tc>
      </w:tr>
    </w:tbl>
    <w:p w14:paraId="24F285BB" w14:textId="77777777" w:rsidR="00EF389E" w:rsidRPr="003234C5" w:rsidRDefault="00EF389E" w:rsidP="00200682">
      <w:pPr>
        <w:autoSpaceDE w:val="0"/>
        <w:autoSpaceDN w:val="0"/>
        <w:adjustRightInd w:val="0"/>
        <w:jc w:val="both"/>
        <w:rPr>
          <w:rFonts w:ascii="Arial" w:hAnsi="Arial" w:cs="Arial"/>
        </w:rPr>
      </w:pPr>
    </w:p>
    <w:p w14:paraId="0765DA25" w14:textId="77777777" w:rsidR="00BF1849" w:rsidRDefault="00BF1849" w:rsidP="00200682">
      <w:pPr>
        <w:autoSpaceDE w:val="0"/>
        <w:autoSpaceDN w:val="0"/>
        <w:adjustRightInd w:val="0"/>
        <w:jc w:val="both"/>
        <w:rPr>
          <w:rFonts w:ascii="Arial" w:hAnsi="Arial" w:cs="Arial"/>
          <w:b/>
        </w:rPr>
      </w:pPr>
    </w:p>
    <w:p w14:paraId="59574111" w14:textId="4AC8760E" w:rsidR="00200682" w:rsidRPr="003234C5" w:rsidRDefault="00200682" w:rsidP="00200682">
      <w:pPr>
        <w:autoSpaceDE w:val="0"/>
        <w:autoSpaceDN w:val="0"/>
        <w:adjustRightInd w:val="0"/>
        <w:jc w:val="both"/>
        <w:rPr>
          <w:rFonts w:ascii="Arial" w:hAnsi="Arial" w:cs="Arial"/>
          <w:b/>
        </w:rPr>
      </w:pPr>
      <w:r w:rsidRPr="003234C5">
        <w:rPr>
          <w:rFonts w:ascii="Arial" w:hAnsi="Arial" w:cs="Arial"/>
          <w:b/>
        </w:rPr>
        <w:lastRenderedPageBreak/>
        <w:t xml:space="preserve">NOTA </w:t>
      </w:r>
      <w:r w:rsidR="00AD47BC" w:rsidRPr="003234C5">
        <w:rPr>
          <w:rFonts w:ascii="Arial" w:hAnsi="Arial" w:cs="Arial"/>
          <w:b/>
        </w:rPr>
        <w:t>3</w:t>
      </w:r>
      <w:r w:rsidR="00E85E5C">
        <w:rPr>
          <w:rFonts w:ascii="Arial" w:hAnsi="Arial" w:cs="Arial"/>
          <w:b/>
        </w:rPr>
        <w:t>4</w:t>
      </w:r>
      <w:r w:rsidRPr="003234C5">
        <w:rPr>
          <w:rFonts w:ascii="Arial" w:hAnsi="Arial" w:cs="Arial"/>
          <w:b/>
        </w:rPr>
        <w:t xml:space="preserve">. </w:t>
      </w:r>
      <w:r w:rsidR="00A01B3D" w:rsidRPr="003234C5">
        <w:rPr>
          <w:rFonts w:ascii="Arial" w:hAnsi="Arial" w:cs="Arial"/>
          <w:b/>
        </w:rPr>
        <w:t>RESERVAS DE LUCROS</w:t>
      </w:r>
    </w:p>
    <w:p w14:paraId="0368014C" w14:textId="1A8F3AFC" w:rsidR="00200682" w:rsidRPr="003234C5" w:rsidRDefault="00200682" w:rsidP="00200682">
      <w:pPr>
        <w:autoSpaceDE w:val="0"/>
        <w:autoSpaceDN w:val="0"/>
        <w:adjustRightInd w:val="0"/>
        <w:jc w:val="both"/>
        <w:rPr>
          <w:rFonts w:ascii="Arial" w:hAnsi="Arial" w:cs="Arial"/>
        </w:rPr>
      </w:pPr>
      <w:r w:rsidRPr="00847BD0">
        <w:rPr>
          <w:rFonts w:ascii="Arial" w:hAnsi="Arial" w:cs="Arial"/>
        </w:rPr>
        <w:t xml:space="preserve">Em </w:t>
      </w:r>
      <w:r w:rsidR="002B184B" w:rsidRPr="00847BD0">
        <w:rPr>
          <w:rFonts w:ascii="Arial" w:hAnsi="Arial" w:cs="Arial"/>
        </w:rPr>
        <w:t>30</w:t>
      </w:r>
      <w:r w:rsidRPr="00847BD0">
        <w:rPr>
          <w:rFonts w:ascii="Arial" w:hAnsi="Arial" w:cs="Arial"/>
        </w:rPr>
        <w:t xml:space="preserve"> de </w:t>
      </w:r>
      <w:r w:rsidR="002B184B" w:rsidRPr="00847BD0">
        <w:rPr>
          <w:rFonts w:ascii="Arial" w:hAnsi="Arial" w:cs="Arial"/>
        </w:rPr>
        <w:t>novembro</w:t>
      </w:r>
      <w:r w:rsidRPr="00847BD0">
        <w:rPr>
          <w:rFonts w:ascii="Arial" w:hAnsi="Arial" w:cs="Arial"/>
        </w:rPr>
        <w:t xml:space="preserve"> de </w:t>
      </w:r>
      <w:r w:rsidR="002B184B" w:rsidRPr="00847BD0">
        <w:rPr>
          <w:rFonts w:ascii="Arial" w:hAnsi="Arial" w:cs="Arial"/>
        </w:rPr>
        <w:t>2018</w:t>
      </w:r>
      <w:r w:rsidRPr="00847BD0">
        <w:rPr>
          <w:rFonts w:ascii="Arial" w:hAnsi="Arial" w:cs="Arial"/>
        </w:rPr>
        <w:t xml:space="preserve">, a Superintendência do Desenvolvimento do Nordeste </w:t>
      </w:r>
      <w:r w:rsidR="00957D36" w:rsidRPr="00847BD0">
        <w:rPr>
          <w:rFonts w:ascii="Arial" w:hAnsi="Arial" w:cs="Arial"/>
        </w:rPr>
        <w:t>–</w:t>
      </w:r>
      <w:r w:rsidRPr="00847BD0">
        <w:rPr>
          <w:rFonts w:ascii="Arial" w:hAnsi="Arial" w:cs="Arial"/>
        </w:rPr>
        <w:t xml:space="preserve"> SUDENE expediu o Laudo Constitutivo nº</w:t>
      </w:r>
      <w:r w:rsidR="00BB448E" w:rsidRPr="00847BD0">
        <w:rPr>
          <w:rFonts w:ascii="Arial" w:hAnsi="Arial" w:cs="Arial"/>
        </w:rPr>
        <w:t xml:space="preserve"> 213</w:t>
      </w:r>
      <w:r w:rsidRPr="00847BD0">
        <w:rPr>
          <w:rFonts w:ascii="Arial" w:hAnsi="Arial" w:cs="Arial"/>
        </w:rPr>
        <w:t>/</w:t>
      </w:r>
      <w:r w:rsidR="00BB448E" w:rsidRPr="00847BD0">
        <w:rPr>
          <w:rFonts w:ascii="Arial" w:hAnsi="Arial" w:cs="Arial"/>
        </w:rPr>
        <w:t>2018</w:t>
      </w:r>
      <w:r w:rsidRPr="00847BD0">
        <w:rPr>
          <w:rFonts w:ascii="Arial" w:hAnsi="Arial" w:cs="Arial"/>
        </w:rPr>
        <w:t xml:space="preserve">, que concedeu a redução de 75% do Imposto de Renda e adicionais não restituíveis sobre o lucro da exploração da atividade de produção de gás natural, por um prazo de </w:t>
      </w:r>
      <w:r w:rsidR="00CB04E0" w:rsidRPr="00847BD0">
        <w:rPr>
          <w:rFonts w:ascii="Arial" w:hAnsi="Arial" w:cs="Arial"/>
        </w:rPr>
        <w:t>10</w:t>
      </w:r>
      <w:r w:rsidRPr="00847BD0">
        <w:rPr>
          <w:rFonts w:ascii="Arial" w:hAnsi="Arial" w:cs="Arial"/>
        </w:rPr>
        <w:t xml:space="preserve"> anos</w:t>
      </w:r>
      <w:r w:rsidRPr="00A156A8">
        <w:rPr>
          <w:rFonts w:ascii="Arial" w:hAnsi="Arial" w:cs="Arial"/>
        </w:rPr>
        <w:t>, na quantidade ampliada de 1.</w:t>
      </w:r>
      <w:r w:rsidR="00501573" w:rsidRPr="00A156A8">
        <w:rPr>
          <w:rFonts w:ascii="Arial" w:hAnsi="Arial" w:cs="Arial"/>
        </w:rPr>
        <w:t>642</w:t>
      </w:r>
      <w:r w:rsidRPr="00A156A8">
        <w:rPr>
          <w:rFonts w:ascii="Arial" w:hAnsi="Arial" w:cs="Arial"/>
        </w:rPr>
        <w:t>.75</w:t>
      </w:r>
      <w:r w:rsidR="00501573" w:rsidRPr="00A156A8">
        <w:rPr>
          <w:rFonts w:ascii="Arial" w:hAnsi="Arial" w:cs="Arial"/>
        </w:rPr>
        <w:t>3</w:t>
      </w:r>
      <w:r w:rsidRPr="00A156A8">
        <w:rPr>
          <w:rFonts w:ascii="Arial" w:hAnsi="Arial" w:cs="Arial"/>
        </w:rPr>
        <w:t>.</w:t>
      </w:r>
      <w:r w:rsidR="00501573" w:rsidRPr="00A156A8">
        <w:rPr>
          <w:rFonts w:ascii="Arial" w:hAnsi="Arial" w:cs="Arial"/>
        </w:rPr>
        <w:t>968</w:t>
      </w:r>
      <w:r w:rsidRPr="00A156A8">
        <w:rPr>
          <w:rFonts w:ascii="Arial" w:hAnsi="Arial" w:cs="Arial"/>
        </w:rPr>
        <w:t xml:space="preserve"> m³/ano</w:t>
      </w:r>
      <w:r w:rsidR="00925DF2">
        <w:rPr>
          <w:rFonts w:ascii="Arial" w:hAnsi="Arial" w:cs="Arial"/>
        </w:rPr>
        <w:t xml:space="preserve"> com vigência</w:t>
      </w:r>
      <w:r>
        <w:rPr>
          <w:rFonts w:ascii="Arial" w:hAnsi="Arial" w:cs="Arial"/>
        </w:rPr>
        <w:t xml:space="preserve"> de </w:t>
      </w:r>
      <w:r w:rsidR="00F07E19">
        <w:rPr>
          <w:rFonts w:ascii="Arial" w:hAnsi="Arial" w:cs="Arial"/>
        </w:rPr>
        <w:t>01/01/2018 a 31/12/2027</w:t>
      </w:r>
      <w:r w:rsidR="00BB2DC8">
        <w:rPr>
          <w:rFonts w:ascii="Arial" w:hAnsi="Arial" w:cs="Arial"/>
        </w:rPr>
        <w:t>.</w:t>
      </w:r>
    </w:p>
    <w:p w14:paraId="6E23AF30" w14:textId="7A7934CA" w:rsidR="003D4C83" w:rsidRPr="003234C5" w:rsidRDefault="00200682" w:rsidP="00200682">
      <w:pPr>
        <w:autoSpaceDE w:val="0"/>
        <w:autoSpaceDN w:val="0"/>
        <w:adjustRightInd w:val="0"/>
        <w:jc w:val="both"/>
        <w:rPr>
          <w:rFonts w:ascii="Arial" w:hAnsi="Arial" w:cs="Arial"/>
        </w:rPr>
      </w:pPr>
      <w:r w:rsidRPr="004042C7">
        <w:rPr>
          <w:rFonts w:ascii="Arial" w:hAnsi="Arial" w:cs="Arial"/>
        </w:rPr>
        <w:t>O valor do incentivo fiscal é contabilizado em conta de resultado em contrapartida da conta d</w:t>
      </w:r>
      <w:r w:rsidR="004042C7">
        <w:rPr>
          <w:rFonts w:ascii="Arial" w:hAnsi="Arial" w:cs="Arial"/>
        </w:rPr>
        <w:t>o Imposto de Renda, reduzindo o valor a pagar. N</w:t>
      </w:r>
      <w:r w:rsidR="00472C5D" w:rsidRPr="004042C7">
        <w:rPr>
          <w:rFonts w:ascii="Arial" w:hAnsi="Arial" w:cs="Arial"/>
        </w:rPr>
        <w:t>o final do exercício,</w:t>
      </w:r>
      <w:r w:rsidR="004042C7">
        <w:rPr>
          <w:rFonts w:ascii="Arial" w:hAnsi="Arial" w:cs="Arial"/>
        </w:rPr>
        <w:t xml:space="preserve"> a partir de Lucros Acumulados</w:t>
      </w:r>
      <w:r w:rsidR="00472C5D" w:rsidRPr="004042C7">
        <w:rPr>
          <w:rFonts w:ascii="Arial" w:hAnsi="Arial" w:cs="Arial"/>
        </w:rPr>
        <w:t xml:space="preserve"> é realocado para</w:t>
      </w:r>
      <w:r w:rsidRPr="004042C7">
        <w:rPr>
          <w:rFonts w:ascii="Arial" w:hAnsi="Arial" w:cs="Arial"/>
        </w:rPr>
        <w:t xml:space="preserve"> Reserva de Lucros no Patrimônio </w:t>
      </w:r>
      <w:r w:rsidR="00CF43FD" w:rsidRPr="004042C7">
        <w:rPr>
          <w:rFonts w:ascii="Arial" w:hAnsi="Arial" w:cs="Arial"/>
        </w:rPr>
        <w:t>L</w:t>
      </w:r>
      <w:r w:rsidRPr="004042C7">
        <w:rPr>
          <w:rFonts w:ascii="Arial" w:hAnsi="Arial" w:cs="Arial"/>
        </w:rPr>
        <w:t>íquido,</w:t>
      </w:r>
      <w:r w:rsidRPr="003234C5">
        <w:rPr>
          <w:rFonts w:ascii="Arial" w:hAnsi="Arial" w:cs="Arial"/>
        </w:rPr>
        <w:t xml:space="preserve"> devendo somente ser utilizado para aumento de capital social ou para eventual absorção de prejuízo contábil, </w:t>
      </w:r>
      <w:r w:rsidRPr="00065E58">
        <w:rPr>
          <w:rFonts w:ascii="Arial" w:hAnsi="Arial" w:cs="Arial"/>
        </w:rPr>
        <w:t>conforme previsto no artigo 5</w:t>
      </w:r>
      <w:r w:rsidR="002339DD" w:rsidRPr="00065E58">
        <w:rPr>
          <w:rFonts w:ascii="Arial" w:hAnsi="Arial" w:cs="Arial"/>
        </w:rPr>
        <w:t>23</w:t>
      </w:r>
      <w:r w:rsidRPr="00065E58">
        <w:rPr>
          <w:rFonts w:ascii="Arial" w:hAnsi="Arial" w:cs="Arial"/>
        </w:rPr>
        <w:t xml:space="preserve"> do</w:t>
      </w:r>
      <w:r w:rsidRPr="003234C5">
        <w:rPr>
          <w:rFonts w:ascii="Arial" w:hAnsi="Arial" w:cs="Arial"/>
        </w:rPr>
        <w:t xml:space="preserve"> Regulamento do Imposto de Renda. </w:t>
      </w:r>
    </w:p>
    <w:p w14:paraId="52212E89" w14:textId="1643317F" w:rsidR="003D4C83" w:rsidRPr="003234C5" w:rsidRDefault="003D4C83" w:rsidP="00200682">
      <w:pPr>
        <w:autoSpaceDE w:val="0"/>
        <w:autoSpaceDN w:val="0"/>
        <w:adjustRightInd w:val="0"/>
        <w:jc w:val="both"/>
        <w:rPr>
          <w:rFonts w:ascii="Arial" w:hAnsi="Arial" w:cs="Arial"/>
        </w:rPr>
      </w:pPr>
      <w:r w:rsidRPr="003234C5">
        <w:rPr>
          <w:rFonts w:ascii="Arial" w:hAnsi="Arial" w:cs="Arial"/>
        </w:rPr>
        <w:t>A Assembleia Geral Extraordinária realizada em 29 de agosto de 2019</w:t>
      </w:r>
      <w:r w:rsidRPr="003234C5">
        <w:rPr>
          <w:rFonts w:ascii="Arial" w:hAnsi="Arial" w:cs="Arial"/>
          <w:color w:val="FF0000"/>
        </w:rPr>
        <w:t xml:space="preserve"> </w:t>
      </w:r>
      <w:r w:rsidRPr="003234C5">
        <w:rPr>
          <w:rFonts w:ascii="Arial" w:hAnsi="Arial" w:cs="Arial"/>
        </w:rPr>
        <w:t>aprovou o aumento de capital, com a incorporação de reserva de incentivos fiscais, no montante de R$ 11.185 sem modificação da quantidade de ações existentes. Deste montante, R$ 443 refere-se ao Reinvestimento de IRPJ constituído no exercício de 2017. E o valor de R$ 10.742 refere-se ao Lucro da Exploração do exercício de 2018.</w:t>
      </w:r>
    </w:p>
    <w:p w14:paraId="0CD04587" w14:textId="2714AC10" w:rsidR="00A01B3D" w:rsidRPr="003234C5" w:rsidRDefault="00A01B3D" w:rsidP="00200682">
      <w:pPr>
        <w:autoSpaceDE w:val="0"/>
        <w:autoSpaceDN w:val="0"/>
        <w:adjustRightInd w:val="0"/>
        <w:jc w:val="both"/>
        <w:rPr>
          <w:rFonts w:ascii="Arial" w:hAnsi="Arial" w:cs="Arial"/>
        </w:rPr>
      </w:pPr>
      <w:r w:rsidRPr="00CA4F8A">
        <w:rPr>
          <w:rFonts w:ascii="Arial" w:hAnsi="Arial" w:cs="Arial"/>
        </w:rPr>
        <w:t>A rubrica reserva de lucros abrange, além da reserva de incentivos fiscais, a reserva legal, que</w:t>
      </w:r>
      <w:r w:rsidR="00957D36" w:rsidRPr="00CA4F8A">
        <w:rPr>
          <w:rFonts w:ascii="Arial" w:hAnsi="Arial" w:cs="Arial"/>
        </w:rPr>
        <w:t>,</w:t>
      </w:r>
      <w:r w:rsidRPr="00CA4F8A">
        <w:rPr>
          <w:rFonts w:ascii="Arial" w:hAnsi="Arial" w:cs="Arial"/>
        </w:rPr>
        <w:t xml:space="preserve"> no ano de 201</w:t>
      </w:r>
      <w:r w:rsidR="005F0A92" w:rsidRPr="00CA4F8A">
        <w:rPr>
          <w:rFonts w:ascii="Arial" w:hAnsi="Arial" w:cs="Arial"/>
        </w:rPr>
        <w:t>9</w:t>
      </w:r>
      <w:r w:rsidR="00957D36" w:rsidRPr="00CA4F8A">
        <w:rPr>
          <w:rFonts w:ascii="Arial" w:hAnsi="Arial" w:cs="Arial"/>
        </w:rPr>
        <w:t>,</w:t>
      </w:r>
      <w:r w:rsidRPr="00CA4F8A">
        <w:rPr>
          <w:rFonts w:ascii="Arial" w:hAnsi="Arial" w:cs="Arial"/>
        </w:rPr>
        <w:t xml:space="preserve"> foi constituída conforme Nota Explicativa n° </w:t>
      </w:r>
      <w:r w:rsidR="008A6E45" w:rsidRPr="00CA4F8A">
        <w:rPr>
          <w:rFonts w:ascii="Arial" w:hAnsi="Arial" w:cs="Arial"/>
        </w:rPr>
        <w:t>2</w:t>
      </w:r>
      <w:r w:rsidR="00CF43FD">
        <w:rPr>
          <w:rFonts w:ascii="Arial" w:hAnsi="Arial" w:cs="Arial"/>
        </w:rPr>
        <w:t>5</w:t>
      </w:r>
      <w:r w:rsidR="00227B3F" w:rsidRPr="00CA4F8A">
        <w:rPr>
          <w:rFonts w:ascii="Arial" w:hAnsi="Arial" w:cs="Arial"/>
        </w:rPr>
        <w:t xml:space="preserve"> </w:t>
      </w:r>
      <w:r w:rsidRPr="00CA4F8A">
        <w:rPr>
          <w:rFonts w:ascii="Arial" w:hAnsi="Arial" w:cs="Arial"/>
        </w:rPr>
        <w:t>e acumula saldo de R$ 2</w:t>
      </w:r>
      <w:r w:rsidR="005F0A92" w:rsidRPr="00CA4F8A">
        <w:rPr>
          <w:rFonts w:ascii="Arial" w:hAnsi="Arial" w:cs="Arial"/>
        </w:rPr>
        <w:t>7</w:t>
      </w:r>
      <w:r w:rsidR="00396014" w:rsidRPr="00CA4F8A">
        <w:rPr>
          <w:rFonts w:ascii="Arial" w:hAnsi="Arial" w:cs="Arial"/>
        </w:rPr>
        <w:t>.</w:t>
      </w:r>
      <w:r w:rsidR="005F0A92" w:rsidRPr="00CA4F8A">
        <w:rPr>
          <w:rFonts w:ascii="Arial" w:hAnsi="Arial" w:cs="Arial"/>
        </w:rPr>
        <w:t>363</w:t>
      </w:r>
      <w:r w:rsidRPr="00CA4F8A">
        <w:rPr>
          <w:rFonts w:ascii="Arial" w:hAnsi="Arial" w:cs="Arial"/>
        </w:rPr>
        <w:t>.</w:t>
      </w:r>
    </w:p>
    <w:p w14:paraId="28F06B53" w14:textId="50A5562B" w:rsidR="00A01B3D" w:rsidRPr="003234C5" w:rsidRDefault="00A01B3D" w:rsidP="00200682">
      <w:pPr>
        <w:autoSpaceDE w:val="0"/>
        <w:autoSpaceDN w:val="0"/>
        <w:adjustRightInd w:val="0"/>
        <w:jc w:val="both"/>
        <w:rPr>
          <w:rFonts w:ascii="Arial" w:hAnsi="Arial" w:cs="Arial"/>
        </w:rPr>
      </w:pPr>
      <w:r w:rsidRPr="003234C5">
        <w:rPr>
          <w:rFonts w:ascii="Arial" w:hAnsi="Arial" w:cs="Arial"/>
        </w:rPr>
        <w:t>Os valores de incentivos fiscais e reserva legal apurados estão demonstrados na tabela abaixo:</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71"/>
        <w:gridCol w:w="1695"/>
        <w:gridCol w:w="1701"/>
      </w:tblGrid>
      <w:tr w:rsidR="00A33751" w:rsidRPr="003234C5" w14:paraId="2200FF73" w14:textId="77777777" w:rsidTr="004D54FC">
        <w:trPr>
          <w:trHeight w:val="170"/>
          <w:jc w:val="center"/>
        </w:trPr>
        <w:tc>
          <w:tcPr>
            <w:tcW w:w="5671" w:type="dxa"/>
            <w:shd w:val="clear" w:color="auto" w:fill="C0C0C0"/>
            <w:vAlign w:val="center"/>
          </w:tcPr>
          <w:p w14:paraId="6B820779" w14:textId="462D372D" w:rsidR="00A33751" w:rsidRPr="003234C5" w:rsidRDefault="00A33751" w:rsidP="00A33751">
            <w:pPr>
              <w:autoSpaceDE w:val="0"/>
              <w:autoSpaceDN w:val="0"/>
              <w:adjustRightInd w:val="0"/>
              <w:spacing w:after="0"/>
              <w:jc w:val="both"/>
              <w:rPr>
                <w:rFonts w:ascii="Arial" w:hAnsi="Arial" w:cs="Arial"/>
                <w:b/>
                <w:sz w:val="20"/>
                <w:szCs w:val="20"/>
              </w:rPr>
            </w:pPr>
            <w:r w:rsidRPr="003234C5">
              <w:rPr>
                <w:rFonts w:ascii="Arial" w:hAnsi="Arial" w:cs="Arial"/>
                <w:b/>
                <w:bCs/>
                <w:sz w:val="20"/>
                <w:szCs w:val="20"/>
              </w:rPr>
              <w:t>RESERVA DE LUCROS</w:t>
            </w:r>
          </w:p>
        </w:tc>
        <w:tc>
          <w:tcPr>
            <w:tcW w:w="1695" w:type="dxa"/>
            <w:shd w:val="clear" w:color="auto" w:fill="C0C0C0"/>
            <w:vAlign w:val="bottom"/>
          </w:tcPr>
          <w:p w14:paraId="7665ACDB" w14:textId="34E2A1C4" w:rsidR="00A33751" w:rsidRPr="003234C5" w:rsidRDefault="00C6257E" w:rsidP="00A33751">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701" w:type="dxa"/>
            <w:shd w:val="clear" w:color="auto" w:fill="C0C0C0"/>
            <w:vAlign w:val="bottom"/>
          </w:tcPr>
          <w:p w14:paraId="35A55029" w14:textId="4AF13434" w:rsidR="00A33751" w:rsidRPr="003234C5" w:rsidRDefault="00C6257E" w:rsidP="00A33751">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3D4C83" w:rsidRPr="003234C5" w14:paraId="5D735AE8" w14:textId="77777777" w:rsidTr="00E82897">
        <w:trPr>
          <w:trHeight w:val="170"/>
          <w:jc w:val="center"/>
        </w:trPr>
        <w:tc>
          <w:tcPr>
            <w:tcW w:w="5671" w:type="dxa"/>
            <w:shd w:val="clear" w:color="auto" w:fill="FFFFFF"/>
            <w:vAlign w:val="bottom"/>
          </w:tcPr>
          <w:p w14:paraId="1B54AE5B" w14:textId="77777777" w:rsidR="003D4C83" w:rsidRPr="003234C5" w:rsidRDefault="003D4C83" w:rsidP="003D4C83">
            <w:pPr>
              <w:spacing w:after="0"/>
              <w:jc w:val="both"/>
              <w:rPr>
                <w:rFonts w:ascii="Arial" w:hAnsi="Arial" w:cs="Arial"/>
                <w:bCs/>
                <w:sz w:val="20"/>
                <w:szCs w:val="20"/>
              </w:rPr>
            </w:pPr>
            <w:r w:rsidRPr="003234C5">
              <w:rPr>
                <w:rFonts w:ascii="Arial" w:hAnsi="Arial" w:cs="Arial"/>
                <w:bCs/>
                <w:sz w:val="20"/>
                <w:szCs w:val="20"/>
              </w:rPr>
              <w:t>Incentivos Fiscais SUDENE</w:t>
            </w:r>
          </w:p>
        </w:tc>
        <w:tc>
          <w:tcPr>
            <w:tcW w:w="1695" w:type="dxa"/>
            <w:shd w:val="clear" w:color="auto" w:fill="FFFFFF"/>
            <w:vAlign w:val="center"/>
          </w:tcPr>
          <w:p w14:paraId="1AB188CA" w14:textId="534108D8" w:rsidR="003D4C83" w:rsidRPr="003234C5" w:rsidRDefault="004F33F7" w:rsidP="003D4C83">
            <w:pPr>
              <w:spacing w:after="0"/>
              <w:jc w:val="right"/>
              <w:rPr>
                <w:rFonts w:ascii="Arial" w:hAnsi="Arial" w:cs="Arial"/>
                <w:sz w:val="20"/>
                <w:szCs w:val="20"/>
              </w:rPr>
            </w:pPr>
            <w:r>
              <w:rPr>
                <w:rFonts w:ascii="Arial" w:hAnsi="Arial" w:cs="Arial"/>
                <w:sz w:val="20"/>
                <w:szCs w:val="20"/>
              </w:rPr>
              <w:t>12.509</w:t>
            </w:r>
          </w:p>
        </w:tc>
        <w:tc>
          <w:tcPr>
            <w:tcW w:w="1701" w:type="dxa"/>
            <w:shd w:val="clear" w:color="auto" w:fill="FFFFFF"/>
            <w:vAlign w:val="center"/>
          </w:tcPr>
          <w:p w14:paraId="27D97BE9" w14:textId="64D71145" w:rsidR="003D4C83" w:rsidRPr="003234C5" w:rsidRDefault="003D4C83" w:rsidP="003D4C83">
            <w:pPr>
              <w:spacing w:after="0"/>
              <w:jc w:val="right"/>
              <w:rPr>
                <w:rFonts w:ascii="Arial" w:hAnsi="Arial" w:cs="Arial"/>
                <w:sz w:val="20"/>
                <w:szCs w:val="20"/>
              </w:rPr>
            </w:pPr>
            <w:r w:rsidRPr="003234C5">
              <w:rPr>
                <w:rFonts w:ascii="Arial" w:hAnsi="Arial" w:cs="Arial"/>
                <w:color w:val="000000"/>
                <w:sz w:val="20"/>
                <w:szCs w:val="20"/>
              </w:rPr>
              <w:t>11.847</w:t>
            </w:r>
          </w:p>
        </w:tc>
      </w:tr>
      <w:tr w:rsidR="003D4C83" w:rsidRPr="003234C5" w14:paraId="1567628B" w14:textId="77777777" w:rsidTr="00E82897">
        <w:trPr>
          <w:trHeight w:val="170"/>
          <w:jc w:val="center"/>
        </w:trPr>
        <w:tc>
          <w:tcPr>
            <w:tcW w:w="5671" w:type="dxa"/>
            <w:shd w:val="clear" w:color="auto" w:fill="FFFFFF"/>
            <w:vAlign w:val="bottom"/>
          </w:tcPr>
          <w:p w14:paraId="3D91AA53" w14:textId="46B9DAA2" w:rsidR="003D4C83" w:rsidRPr="003234C5" w:rsidRDefault="003D4C83" w:rsidP="003D4C83">
            <w:pPr>
              <w:spacing w:after="0"/>
              <w:jc w:val="both"/>
              <w:rPr>
                <w:rFonts w:ascii="Arial" w:hAnsi="Arial" w:cs="Arial"/>
                <w:bCs/>
                <w:sz w:val="20"/>
                <w:szCs w:val="20"/>
              </w:rPr>
            </w:pPr>
            <w:r w:rsidRPr="003234C5">
              <w:rPr>
                <w:rFonts w:ascii="Arial" w:hAnsi="Arial" w:cs="Arial"/>
                <w:bCs/>
                <w:sz w:val="20"/>
                <w:szCs w:val="20"/>
              </w:rPr>
              <w:t>Reserva Legal</w:t>
            </w:r>
          </w:p>
        </w:tc>
        <w:tc>
          <w:tcPr>
            <w:tcW w:w="1695" w:type="dxa"/>
            <w:shd w:val="clear" w:color="auto" w:fill="FFFFFF"/>
            <w:vAlign w:val="center"/>
          </w:tcPr>
          <w:p w14:paraId="18400C85" w14:textId="4E41FAE1" w:rsidR="003D4C83" w:rsidRPr="003234C5" w:rsidRDefault="002E7E15" w:rsidP="003D4C83">
            <w:pPr>
              <w:spacing w:after="0"/>
              <w:jc w:val="right"/>
              <w:rPr>
                <w:rFonts w:ascii="Arial" w:hAnsi="Arial" w:cs="Arial"/>
                <w:sz w:val="20"/>
                <w:szCs w:val="20"/>
              </w:rPr>
            </w:pPr>
            <w:r>
              <w:rPr>
                <w:rFonts w:ascii="Arial" w:hAnsi="Arial" w:cs="Arial"/>
                <w:sz w:val="20"/>
                <w:szCs w:val="20"/>
              </w:rPr>
              <w:t>27.</w:t>
            </w:r>
            <w:r w:rsidR="0033511A">
              <w:rPr>
                <w:rFonts w:ascii="Arial" w:hAnsi="Arial" w:cs="Arial"/>
                <w:sz w:val="20"/>
                <w:szCs w:val="20"/>
              </w:rPr>
              <w:t>363</w:t>
            </w:r>
          </w:p>
        </w:tc>
        <w:tc>
          <w:tcPr>
            <w:tcW w:w="1701" w:type="dxa"/>
            <w:shd w:val="clear" w:color="auto" w:fill="FFFFFF"/>
            <w:vAlign w:val="center"/>
          </w:tcPr>
          <w:p w14:paraId="6C2D000A" w14:textId="09A3823F" w:rsidR="003D4C83" w:rsidRPr="003234C5" w:rsidRDefault="003D4C83" w:rsidP="003D4C83">
            <w:pPr>
              <w:spacing w:after="0"/>
              <w:jc w:val="right"/>
              <w:rPr>
                <w:rFonts w:ascii="Arial" w:hAnsi="Arial" w:cs="Arial"/>
                <w:sz w:val="20"/>
                <w:szCs w:val="20"/>
              </w:rPr>
            </w:pPr>
            <w:r w:rsidRPr="003234C5">
              <w:rPr>
                <w:rFonts w:ascii="Arial" w:hAnsi="Arial" w:cs="Arial"/>
                <w:color w:val="000000"/>
                <w:sz w:val="20"/>
                <w:szCs w:val="20"/>
              </w:rPr>
              <w:t>25.126</w:t>
            </w:r>
          </w:p>
        </w:tc>
      </w:tr>
      <w:tr w:rsidR="003D4C83" w:rsidRPr="003234C5" w14:paraId="2E7889E7" w14:textId="77777777" w:rsidTr="00E82897">
        <w:trPr>
          <w:trHeight w:val="170"/>
          <w:jc w:val="center"/>
        </w:trPr>
        <w:tc>
          <w:tcPr>
            <w:tcW w:w="5671" w:type="dxa"/>
            <w:shd w:val="clear" w:color="auto" w:fill="C0C0C0"/>
            <w:vAlign w:val="bottom"/>
          </w:tcPr>
          <w:p w14:paraId="2D735824" w14:textId="77777777" w:rsidR="003D4C83" w:rsidRPr="003234C5" w:rsidRDefault="003D4C83" w:rsidP="003D4C83">
            <w:pPr>
              <w:autoSpaceDE w:val="0"/>
              <w:autoSpaceDN w:val="0"/>
              <w:adjustRightInd w:val="0"/>
              <w:spacing w:after="0"/>
              <w:jc w:val="both"/>
              <w:rPr>
                <w:rFonts w:ascii="Arial" w:hAnsi="Arial" w:cs="Arial"/>
                <w:b/>
                <w:sz w:val="20"/>
                <w:szCs w:val="20"/>
              </w:rPr>
            </w:pPr>
            <w:r w:rsidRPr="003234C5">
              <w:rPr>
                <w:rFonts w:ascii="Arial" w:hAnsi="Arial" w:cs="Arial"/>
                <w:b/>
                <w:sz w:val="20"/>
                <w:szCs w:val="20"/>
              </w:rPr>
              <w:t>TOTAL</w:t>
            </w:r>
          </w:p>
        </w:tc>
        <w:tc>
          <w:tcPr>
            <w:tcW w:w="1695" w:type="dxa"/>
            <w:shd w:val="clear" w:color="auto" w:fill="C0C0C0"/>
            <w:vAlign w:val="center"/>
          </w:tcPr>
          <w:p w14:paraId="3D091919" w14:textId="0980C0F2" w:rsidR="003D4C83" w:rsidRPr="003234C5" w:rsidRDefault="00901F26" w:rsidP="003D4C83">
            <w:pPr>
              <w:autoSpaceDE w:val="0"/>
              <w:autoSpaceDN w:val="0"/>
              <w:adjustRightInd w:val="0"/>
              <w:spacing w:after="0"/>
              <w:jc w:val="right"/>
              <w:rPr>
                <w:rFonts w:ascii="Arial" w:hAnsi="Arial" w:cs="Arial"/>
                <w:b/>
                <w:sz w:val="20"/>
                <w:szCs w:val="20"/>
              </w:rPr>
            </w:pPr>
            <w:r>
              <w:rPr>
                <w:rFonts w:ascii="Arial" w:hAnsi="Arial" w:cs="Arial"/>
                <w:b/>
                <w:sz w:val="20"/>
                <w:szCs w:val="20"/>
              </w:rPr>
              <w:t>39.872</w:t>
            </w:r>
          </w:p>
        </w:tc>
        <w:tc>
          <w:tcPr>
            <w:tcW w:w="1701" w:type="dxa"/>
            <w:shd w:val="clear" w:color="auto" w:fill="C0C0C0"/>
            <w:vAlign w:val="center"/>
          </w:tcPr>
          <w:p w14:paraId="21149A84" w14:textId="02A7DE26" w:rsidR="003D4C83" w:rsidRPr="003234C5" w:rsidRDefault="003D4C83" w:rsidP="003D4C83">
            <w:pPr>
              <w:autoSpaceDE w:val="0"/>
              <w:autoSpaceDN w:val="0"/>
              <w:adjustRightInd w:val="0"/>
              <w:spacing w:after="0"/>
              <w:jc w:val="right"/>
              <w:rPr>
                <w:rFonts w:ascii="Arial" w:hAnsi="Arial" w:cs="Arial"/>
                <w:b/>
                <w:sz w:val="20"/>
                <w:szCs w:val="20"/>
              </w:rPr>
            </w:pPr>
            <w:r w:rsidRPr="003234C5">
              <w:rPr>
                <w:rFonts w:ascii="Arial" w:hAnsi="Arial" w:cs="Arial"/>
                <w:b/>
                <w:bCs/>
                <w:color w:val="000000"/>
                <w:sz w:val="20"/>
                <w:szCs w:val="20"/>
              </w:rPr>
              <w:t>36.973</w:t>
            </w:r>
          </w:p>
        </w:tc>
      </w:tr>
    </w:tbl>
    <w:p w14:paraId="614F357D" w14:textId="77777777" w:rsidR="00200682" w:rsidRPr="003234C5" w:rsidRDefault="00200682" w:rsidP="00200682">
      <w:pPr>
        <w:autoSpaceDE w:val="0"/>
        <w:autoSpaceDN w:val="0"/>
        <w:adjustRightInd w:val="0"/>
        <w:jc w:val="both"/>
        <w:rPr>
          <w:rFonts w:ascii="Arial" w:hAnsi="Arial" w:cs="Arial"/>
        </w:rPr>
      </w:pPr>
    </w:p>
    <w:p w14:paraId="12F65BCE" w14:textId="3FA2331F" w:rsidR="00200682" w:rsidRPr="003234C5" w:rsidRDefault="00200682" w:rsidP="00200682">
      <w:pPr>
        <w:jc w:val="both"/>
        <w:rPr>
          <w:rFonts w:ascii="Arial" w:hAnsi="Arial" w:cs="Arial"/>
          <w:b/>
        </w:rPr>
      </w:pPr>
      <w:r w:rsidRPr="003234C5">
        <w:rPr>
          <w:rFonts w:ascii="Arial" w:hAnsi="Arial" w:cs="Arial"/>
          <w:b/>
        </w:rPr>
        <w:t xml:space="preserve">NOTA </w:t>
      </w:r>
      <w:r w:rsidR="003F4341" w:rsidRPr="003234C5">
        <w:rPr>
          <w:rFonts w:ascii="Arial" w:hAnsi="Arial" w:cs="Arial"/>
          <w:b/>
        </w:rPr>
        <w:t>3</w:t>
      </w:r>
      <w:r w:rsidR="00E85E5C">
        <w:rPr>
          <w:rFonts w:ascii="Arial" w:hAnsi="Arial" w:cs="Arial"/>
          <w:b/>
        </w:rPr>
        <w:t>5</w:t>
      </w:r>
      <w:r w:rsidRPr="003234C5">
        <w:rPr>
          <w:rFonts w:ascii="Arial" w:hAnsi="Arial" w:cs="Arial"/>
          <w:b/>
        </w:rPr>
        <w:t xml:space="preserve">.  LUCRO POR AÇÃO </w:t>
      </w:r>
    </w:p>
    <w:p w14:paraId="68D64FEF" w14:textId="16EB2072" w:rsidR="00C62487" w:rsidRDefault="000666B0" w:rsidP="000666B0">
      <w:pPr>
        <w:jc w:val="both"/>
        <w:rPr>
          <w:rFonts w:ascii="Arial" w:hAnsi="Arial" w:cs="Arial"/>
        </w:rPr>
      </w:pPr>
      <w:r w:rsidRPr="003234C5">
        <w:rPr>
          <w:rFonts w:ascii="Arial" w:hAnsi="Arial" w:cs="Arial"/>
        </w:rPr>
        <w:t>O cálculo básico de lucro por ação é feito por meio da divisão do lucro líquido do período, atribuído aos detentores de ações ordinárias e preferenciais da controladora, pela quantidade de ações ordinárias e preferenciais. A Companhia optou por incluir as ações preferenciais no cálculo</w:t>
      </w:r>
      <w:r w:rsidR="00957D36" w:rsidRPr="003234C5">
        <w:rPr>
          <w:rFonts w:ascii="Arial" w:hAnsi="Arial" w:cs="Arial"/>
        </w:rPr>
        <w:t>,</w:t>
      </w:r>
      <w:r w:rsidRPr="003234C5">
        <w:rPr>
          <w:rFonts w:ascii="Arial" w:hAnsi="Arial" w:cs="Arial"/>
        </w:rPr>
        <w:t xml:space="preserve"> tendo em vista seu direito a dividendo igual ao das ações ordinárias. No caso da Companhia, não existe ações em tesouraria que diluam o cálculo do lucro por ação, não havendo, nesse caso, diferença entre o lucro básico e o lucro diluído. No quadro a seguir</w:t>
      </w:r>
      <w:r w:rsidR="00957D36" w:rsidRPr="003234C5">
        <w:rPr>
          <w:rFonts w:ascii="Arial" w:hAnsi="Arial" w:cs="Arial"/>
        </w:rPr>
        <w:t>,</w:t>
      </w:r>
      <w:r w:rsidRPr="003234C5">
        <w:rPr>
          <w:rFonts w:ascii="Arial" w:hAnsi="Arial" w:cs="Arial"/>
        </w:rPr>
        <w:t xml:space="preserve"> estão apresentados os dados de resultado e ações utilizados no cálculo dos lucros básico e diluído por ação.</w:t>
      </w:r>
    </w:p>
    <w:p w14:paraId="3EDAA955" w14:textId="77777777" w:rsidR="00717C6D" w:rsidRPr="003234C5" w:rsidRDefault="00717C6D" w:rsidP="000666B0">
      <w:pPr>
        <w:jc w:val="both"/>
        <w:rPr>
          <w:rFonts w:ascii="Arial" w:hAnsi="Arial" w:cs="Arial"/>
        </w:rPr>
      </w:pP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86"/>
        <w:gridCol w:w="2002"/>
        <w:gridCol w:w="1683"/>
      </w:tblGrid>
      <w:tr w:rsidR="00A33751" w:rsidRPr="003234C5" w14:paraId="1A50A943" w14:textId="77777777" w:rsidTr="009B5C2A">
        <w:trPr>
          <w:trHeight w:val="170"/>
          <w:jc w:val="center"/>
        </w:trPr>
        <w:tc>
          <w:tcPr>
            <w:tcW w:w="5386" w:type="dxa"/>
            <w:shd w:val="clear" w:color="auto" w:fill="C0C0C0"/>
            <w:vAlign w:val="center"/>
          </w:tcPr>
          <w:p w14:paraId="5E0FC539" w14:textId="77777777" w:rsidR="00A33751" w:rsidRPr="003234C5" w:rsidRDefault="00A33751" w:rsidP="00A33751">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w:t>
            </w:r>
          </w:p>
        </w:tc>
        <w:tc>
          <w:tcPr>
            <w:tcW w:w="2002" w:type="dxa"/>
            <w:shd w:val="clear" w:color="auto" w:fill="C0C0C0"/>
            <w:vAlign w:val="bottom"/>
          </w:tcPr>
          <w:p w14:paraId="1E0E091B" w14:textId="2F4D47D9" w:rsidR="00A33751" w:rsidRPr="003234C5" w:rsidRDefault="00C6257E" w:rsidP="00A33751">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683" w:type="dxa"/>
            <w:shd w:val="clear" w:color="auto" w:fill="C0C0C0"/>
            <w:vAlign w:val="bottom"/>
          </w:tcPr>
          <w:p w14:paraId="614EC904" w14:textId="3BBFFD56" w:rsidR="00A33751" w:rsidRPr="003234C5" w:rsidRDefault="00C6257E" w:rsidP="00A33751">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3D4C83" w:rsidRPr="003234C5" w14:paraId="1095AB3C" w14:textId="77777777" w:rsidTr="009B5C2A">
        <w:trPr>
          <w:trHeight w:val="170"/>
          <w:jc w:val="center"/>
        </w:trPr>
        <w:tc>
          <w:tcPr>
            <w:tcW w:w="5386" w:type="dxa"/>
            <w:shd w:val="clear" w:color="auto" w:fill="FFFFFF"/>
            <w:vAlign w:val="bottom"/>
          </w:tcPr>
          <w:p w14:paraId="237A2C42" w14:textId="77777777" w:rsidR="003D4C83" w:rsidRPr="003234C5" w:rsidRDefault="003D4C83" w:rsidP="003D4C83">
            <w:pPr>
              <w:spacing w:after="0"/>
              <w:jc w:val="both"/>
              <w:rPr>
                <w:rFonts w:ascii="Arial" w:hAnsi="Arial" w:cs="Arial"/>
                <w:bCs/>
                <w:sz w:val="20"/>
                <w:szCs w:val="20"/>
              </w:rPr>
            </w:pPr>
            <w:r w:rsidRPr="003234C5">
              <w:rPr>
                <w:rFonts w:ascii="Arial" w:hAnsi="Arial" w:cs="Arial"/>
                <w:bCs/>
                <w:sz w:val="20"/>
                <w:szCs w:val="20"/>
              </w:rPr>
              <w:t xml:space="preserve">Lucro Líquido atribuído ao acionista </w:t>
            </w:r>
          </w:p>
        </w:tc>
        <w:tc>
          <w:tcPr>
            <w:tcW w:w="2002" w:type="dxa"/>
            <w:shd w:val="clear" w:color="auto" w:fill="FFFFFF"/>
            <w:vAlign w:val="center"/>
          </w:tcPr>
          <w:p w14:paraId="2100AD4E" w14:textId="6EE0CFA2" w:rsidR="003D4C83" w:rsidRPr="003234C5" w:rsidRDefault="0063678C" w:rsidP="003D4C83">
            <w:pPr>
              <w:spacing w:after="0"/>
              <w:jc w:val="right"/>
              <w:rPr>
                <w:rFonts w:ascii="Arial" w:hAnsi="Arial" w:cs="Arial"/>
                <w:bCs/>
                <w:sz w:val="20"/>
                <w:szCs w:val="20"/>
              </w:rPr>
            </w:pPr>
            <w:r>
              <w:rPr>
                <w:rFonts w:ascii="Arial" w:hAnsi="Arial" w:cs="Arial"/>
                <w:bCs/>
                <w:sz w:val="20"/>
                <w:szCs w:val="20"/>
              </w:rPr>
              <w:t>60.853</w:t>
            </w:r>
          </w:p>
        </w:tc>
        <w:tc>
          <w:tcPr>
            <w:tcW w:w="1683" w:type="dxa"/>
            <w:shd w:val="clear" w:color="auto" w:fill="FFFFFF"/>
            <w:vAlign w:val="center"/>
          </w:tcPr>
          <w:p w14:paraId="76564687" w14:textId="5B3BE606" w:rsidR="003D4C83" w:rsidRPr="003234C5" w:rsidRDefault="003D76F9" w:rsidP="003D4C83">
            <w:pPr>
              <w:spacing w:after="0"/>
              <w:jc w:val="right"/>
              <w:rPr>
                <w:rFonts w:ascii="Arial" w:hAnsi="Arial" w:cs="Arial"/>
                <w:bCs/>
                <w:sz w:val="20"/>
                <w:szCs w:val="20"/>
              </w:rPr>
            </w:pPr>
            <w:r>
              <w:rPr>
                <w:rFonts w:ascii="Arial" w:hAnsi="Arial" w:cs="Arial"/>
                <w:bCs/>
                <w:sz w:val="20"/>
                <w:szCs w:val="20"/>
              </w:rPr>
              <w:t>56.674</w:t>
            </w:r>
          </w:p>
        </w:tc>
      </w:tr>
      <w:tr w:rsidR="003D4C83" w:rsidRPr="003234C5" w14:paraId="46EAA3DC" w14:textId="77777777" w:rsidTr="009B5C2A">
        <w:trPr>
          <w:trHeight w:val="170"/>
          <w:jc w:val="center"/>
        </w:trPr>
        <w:tc>
          <w:tcPr>
            <w:tcW w:w="5386" w:type="dxa"/>
            <w:shd w:val="clear" w:color="auto" w:fill="FFFFFF"/>
            <w:vAlign w:val="bottom"/>
          </w:tcPr>
          <w:p w14:paraId="58D6D2D2" w14:textId="77777777" w:rsidR="003D4C83" w:rsidRPr="003234C5" w:rsidRDefault="003D4C83" w:rsidP="003D4C83">
            <w:pPr>
              <w:spacing w:after="0"/>
              <w:jc w:val="both"/>
              <w:rPr>
                <w:rFonts w:ascii="Arial" w:hAnsi="Arial" w:cs="Arial"/>
                <w:bCs/>
                <w:sz w:val="20"/>
                <w:szCs w:val="20"/>
              </w:rPr>
            </w:pPr>
            <w:r w:rsidRPr="003234C5">
              <w:rPr>
                <w:rFonts w:ascii="Arial" w:hAnsi="Arial" w:cs="Arial"/>
                <w:bCs/>
                <w:sz w:val="20"/>
                <w:szCs w:val="20"/>
              </w:rPr>
              <w:t>Total de Ações Ordinárias e Preferenciais</w:t>
            </w:r>
          </w:p>
        </w:tc>
        <w:tc>
          <w:tcPr>
            <w:tcW w:w="2002" w:type="dxa"/>
            <w:shd w:val="clear" w:color="auto" w:fill="FFFFFF"/>
            <w:vAlign w:val="center"/>
          </w:tcPr>
          <w:p w14:paraId="44629AB4" w14:textId="534E9EB5" w:rsidR="003D4C83" w:rsidRPr="003234C5" w:rsidRDefault="002F322C" w:rsidP="003D4C83">
            <w:pPr>
              <w:spacing w:after="0"/>
              <w:jc w:val="right"/>
              <w:rPr>
                <w:rFonts w:ascii="Arial" w:hAnsi="Arial" w:cs="Arial"/>
                <w:sz w:val="20"/>
                <w:szCs w:val="20"/>
              </w:rPr>
            </w:pPr>
            <w:r>
              <w:rPr>
                <w:rFonts w:ascii="Arial" w:hAnsi="Arial" w:cs="Arial"/>
                <w:sz w:val="20"/>
                <w:szCs w:val="20"/>
              </w:rPr>
              <w:t>39.400</w:t>
            </w:r>
          </w:p>
        </w:tc>
        <w:tc>
          <w:tcPr>
            <w:tcW w:w="1683" w:type="dxa"/>
            <w:shd w:val="clear" w:color="auto" w:fill="FFFFFF"/>
            <w:vAlign w:val="center"/>
          </w:tcPr>
          <w:p w14:paraId="386A1DAD" w14:textId="64CCE21F" w:rsidR="003D4C83" w:rsidRPr="003234C5" w:rsidRDefault="003D76F9" w:rsidP="003D4C83">
            <w:pPr>
              <w:spacing w:after="0"/>
              <w:jc w:val="right"/>
              <w:rPr>
                <w:rFonts w:ascii="Arial" w:hAnsi="Arial" w:cs="Arial"/>
                <w:sz w:val="20"/>
                <w:szCs w:val="20"/>
              </w:rPr>
            </w:pPr>
            <w:r>
              <w:rPr>
                <w:rFonts w:ascii="Arial" w:hAnsi="Arial" w:cs="Arial"/>
                <w:sz w:val="20"/>
                <w:szCs w:val="20"/>
              </w:rPr>
              <w:t>39.400</w:t>
            </w:r>
          </w:p>
        </w:tc>
      </w:tr>
      <w:tr w:rsidR="003D4C83" w:rsidRPr="003234C5" w14:paraId="3EE9D489" w14:textId="77777777" w:rsidTr="009B5C2A">
        <w:trPr>
          <w:trHeight w:val="170"/>
          <w:jc w:val="center"/>
        </w:trPr>
        <w:tc>
          <w:tcPr>
            <w:tcW w:w="5386" w:type="dxa"/>
            <w:shd w:val="clear" w:color="auto" w:fill="FFFFFF"/>
            <w:vAlign w:val="bottom"/>
          </w:tcPr>
          <w:p w14:paraId="329D1C65" w14:textId="77777777" w:rsidR="003D4C83" w:rsidRPr="003234C5" w:rsidRDefault="003D4C83" w:rsidP="003D4C83">
            <w:pPr>
              <w:spacing w:after="0"/>
              <w:jc w:val="both"/>
              <w:rPr>
                <w:rFonts w:ascii="Arial" w:hAnsi="Arial" w:cs="Arial"/>
                <w:b/>
                <w:bCs/>
                <w:sz w:val="20"/>
                <w:szCs w:val="20"/>
              </w:rPr>
            </w:pPr>
            <w:r w:rsidRPr="003234C5">
              <w:rPr>
                <w:rFonts w:ascii="Arial" w:hAnsi="Arial" w:cs="Arial"/>
                <w:b/>
                <w:bCs/>
                <w:sz w:val="20"/>
                <w:szCs w:val="20"/>
              </w:rPr>
              <w:t xml:space="preserve">Lucro/Ação </w:t>
            </w:r>
          </w:p>
        </w:tc>
        <w:tc>
          <w:tcPr>
            <w:tcW w:w="2002" w:type="dxa"/>
            <w:shd w:val="clear" w:color="auto" w:fill="FFFFFF"/>
            <w:vAlign w:val="center"/>
          </w:tcPr>
          <w:p w14:paraId="505710A1" w14:textId="0E826396" w:rsidR="003D4C83" w:rsidRPr="003234C5" w:rsidRDefault="00B63971" w:rsidP="003D4C83">
            <w:pPr>
              <w:spacing w:after="0"/>
              <w:jc w:val="right"/>
              <w:rPr>
                <w:rFonts w:ascii="Arial" w:hAnsi="Arial" w:cs="Arial"/>
                <w:b/>
                <w:sz w:val="20"/>
                <w:szCs w:val="20"/>
              </w:rPr>
            </w:pPr>
            <w:r>
              <w:rPr>
                <w:rFonts w:ascii="Arial" w:hAnsi="Arial" w:cs="Arial"/>
                <w:b/>
                <w:sz w:val="20"/>
                <w:szCs w:val="20"/>
              </w:rPr>
              <w:t>1,54</w:t>
            </w:r>
          </w:p>
        </w:tc>
        <w:tc>
          <w:tcPr>
            <w:tcW w:w="1683" w:type="dxa"/>
            <w:shd w:val="clear" w:color="auto" w:fill="FFFFFF"/>
            <w:vAlign w:val="center"/>
          </w:tcPr>
          <w:p w14:paraId="7BA92F27" w14:textId="4E79B5B3" w:rsidR="003D4C83" w:rsidRPr="003234C5" w:rsidRDefault="003D76F9" w:rsidP="003D4C83">
            <w:pPr>
              <w:spacing w:after="0"/>
              <w:jc w:val="right"/>
              <w:rPr>
                <w:rFonts w:ascii="Arial" w:hAnsi="Arial" w:cs="Arial"/>
                <w:b/>
                <w:sz w:val="20"/>
                <w:szCs w:val="20"/>
              </w:rPr>
            </w:pPr>
            <w:r>
              <w:rPr>
                <w:rFonts w:ascii="Arial" w:hAnsi="Arial" w:cs="Arial"/>
                <w:b/>
                <w:sz w:val="20"/>
                <w:szCs w:val="20"/>
              </w:rPr>
              <w:t>1,44</w:t>
            </w:r>
          </w:p>
        </w:tc>
      </w:tr>
    </w:tbl>
    <w:p w14:paraId="102C97B9" w14:textId="0F1843EE" w:rsidR="00200682" w:rsidRDefault="00200682" w:rsidP="00662E91">
      <w:pPr>
        <w:spacing w:after="120"/>
        <w:jc w:val="both"/>
        <w:rPr>
          <w:rFonts w:ascii="Arial" w:hAnsi="Arial" w:cs="Arial"/>
        </w:rPr>
      </w:pPr>
    </w:p>
    <w:p w14:paraId="403D11B7" w14:textId="4B52901C" w:rsidR="007743E8" w:rsidRPr="003234C5" w:rsidRDefault="00200682" w:rsidP="00662E91">
      <w:pPr>
        <w:spacing w:after="240" w:line="240" w:lineRule="auto"/>
        <w:jc w:val="both"/>
        <w:rPr>
          <w:rFonts w:ascii="Arial" w:hAnsi="Arial" w:cs="Arial"/>
          <w:b/>
          <w:bCs/>
        </w:rPr>
      </w:pPr>
      <w:r w:rsidRPr="003234C5">
        <w:rPr>
          <w:rFonts w:ascii="Arial" w:hAnsi="Arial" w:cs="Arial"/>
          <w:b/>
          <w:bCs/>
        </w:rPr>
        <w:lastRenderedPageBreak/>
        <w:t>NOTA 3</w:t>
      </w:r>
      <w:r w:rsidR="00E85E5C">
        <w:rPr>
          <w:rFonts w:ascii="Arial" w:hAnsi="Arial" w:cs="Arial"/>
          <w:b/>
          <w:bCs/>
        </w:rPr>
        <w:t>6</w:t>
      </w:r>
      <w:r w:rsidRPr="003234C5">
        <w:rPr>
          <w:rFonts w:ascii="Arial" w:hAnsi="Arial" w:cs="Arial"/>
          <w:b/>
          <w:bCs/>
        </w:rPr>
        <w:t xml:space="preserve">. PARTES RELACIONADAS </w:t>
      </w:r>
    </w:p>
    <w:p w14:paraId="105CD1BA" w14:textId="2B07A14B" w:rsidR="00662E91" w:rsidRPr="003234C5" w:rsidRDefault="00662E91" w:rsidP="00662E91">
      <w:pPr>
        <w:jc w:val="both"/>
        <w:rPr>
          <w:rFonts w:ascii="Arial" w:hAnsi="Arial" w:cs="Arial"/>
        </w:rPr>
      </w:pPr>
      <w:r w:rsidRPr="003234C5">
        <w:rPr>
          <w:rFonts w:ascii="Arial" w:hAnsi="Arial" w:cs="Arial"/>
        </w:rPr>
        <w:t xml:space="preserve">As transações que influenciaram o resultado do exercício, relativas às operações com partes relacionadas, foram realizadas em condições usuais de mercado para os respectivos tipos de operações. Enfatiza-se que transações mercantis com a empresa ligada Petróleo Brasileiro S.A. – </w:t>
      </w:r>
      <w:r w:rsidR="00AC5B72" w:rsidRPr="003234C5">
        <w:rPr>
          <w:rFonts w:ascii="Arial" w:hAnsi="Arial" w:cs="Arial"/>
        </w:rPr>
        <w:t>Petrobras</w:t>
      </w:r>
      <w:r w:rsidRPr="003234C5">
        <w:rPr>
          <w:rFonts w:ascii="Arial" w:hAnsi="Arial" w:cs="Arial"/>
        </w:rPr>
        <w:t xml:space="preserve"> são realizadas de acordo com os preços praticados pelo mercado. </w:t>
      </w:r>
    </w:p>
    <w:p w14:paraId="4D548C61" w14:textId="26992ECD" w:rsidR="003D4C83" w:rsidRPr="003234C5" w:rsidRDefault="00662E91" w:rsidP="00662E91">
      <w:pPr>
        <w:jc w:val="both"/>
        <w:rPr>
          <w:rFonts w:ascii="Arial" w:hAnsi="Arial" w:cs="Arial"/>
        </w:rPr>
      </w:pPr>
      <w:r w:rsidRPr="003234C5">
        <w:rPr>
          <w:rFonts w:ascii="Arial" w:hAnsi="Arial" w:cs="Arial"/>
        </w:rPr>
        <w:t xml:space="preserve">A </w:t>
      </w:r>
      <w:r w:rsidR="00F71A6C" w:rsidRPr="003234C5">
        <w:rPr>
          <w:rFonts w:ascii="Arial" w:hAnsi="Arial" w:cs="Arial"/>
        </w:rPr>
        <w:t>CEGÁS</w:t>
      </w:r>
      <w:r w:rsidRPr="003234C5">
        <w:rPr>
          <w:rFonts w:ascii="Arial" w:hAnsi="Arial" w:cs="Arial"/>
        </w:rPr>
        <w:t xml:space="preserve"> possui contrato de compra de gás firme inflexível firmado com a </w:t>
      </w:r>
      <w:r w:rsidR="00AC5B72" w:rsidRPr="003234C5">
        <w:rPr>
          <w:rFonts w:ascii="Arial" w:hAnsi="Arial" w:cs="Arial"/>
        </w:rPr>
        <w:t>Petrobras</w:t>
      </w:r>
      <w:r w:rsidRPr="003234C5">
        <w:rPr>
          <w:rFonts w:ascii="Arial" w:hAnsi="Arial" w:cs="Arial"/>
        </w:rPr>
        <w:t xml:space="preserve">, assinado em novembro de 2014, garantindo o fornecimento de 520.000m³/dia de gás de natural com vigência até dezembro de 2019. Os principais saldos de ativos e passivos em </w:t>
      </w:r>
      <w:r w:rsidR="00C724A6">
        <w:rPr>
          <w:rFonts w:ascii="Arial" w:hAnsi="Arial" w:cs="Arial"/>
        </w:rPr>
        <w:t>31</w:t>
      </w:r>
      <w:r w:rsidR="008F54D6" w:rsidRPr="003234C5">
        <w:rPr>
          <w:rFonts w:ascii="Arial" w:hAnsi="Arial" w:cs="Arial"/>
        </w:rPr>
        <w:t xml:space="preserve"> de</w:t>
      </w:r>
      <w:r w:rsidR="007312D7">
        <w:rPr>
          <w:rFonts w:ascii="Arial" w:hAnsi="Arial" w:cs="Arial"/>
        </w:rPr>
        <w:t xml:space="preserve">zembro </w:t>
      </w:r>
      <w:r w:rsidRPr="003234C5">
        <w:rPr>
          <w:rFonts w:ascii="Arial" w:hAnsi="Arial" w:cs="Arial"/>
        </w:rPr>
        <w:t>de 20</w:t>
      </w:r>
      <w:r w:rsidR="009C6582">
        <w:rPr>
          <w:rFonts w:ascii="Arial" w:hAnsi="Arial" w:cs="Arial"/>
        </w:rPr>
        <w:t>19</w:t>
      </w:r>
      <w:r w:rsidRPr="003234C5">
        <w:rPr>
          <w:rFonts w:ascii="Arial" w:hAnsi="Arial" w:cs="Arial"/>
        </w:rPr>
        <w:t xml:space="preserve"> e de </w:t>
      </w:r>
      <w:r w:rsidR="0060012D" w:rsidRPr="003234C5">
        <w:rPr>
          <w:rFonts w:ascii="Arial" w:hAnsi="Arial" w:cs="Arial"/>
        </w:rPr>
        <w:t xml:space="preserve">31 de dezembro de </w:t>
      </w:r>
      <w:r w:rsidRPr="003234C5">
        <w:rPr>
          <w:rFonts w:ascii="Arial" w:hAnsi="Arial" w:cs="Arial"/>
        </w:rPr>
        <w:t>201</w:t>
      </w:r>
      <w:r w:rsidR="00A33751" w:rsidRPr="003234C5">
        <w:rPr>
          <w:rFonts w:ascii="Arial" w:hAnsi="Arial" w:cs="Arial"/>
        </w:rPr>
        <w:t>8</w:t>
      </w:r>
      <w:r w:rsidRPr="003234C5">
        <w:rPr>
          <w:rFonts w:ascii="Arial" w:hAnsi="Arial" w:cs="Arial"/>
        </w:rPr>
        <w:t xml:space="preserve"> estão demonstrados na tabela a seguir:</w:t>
      </w:r>
    </w:p>
    <w:tbl>
      <w:tblPr>
        <w:tblpPr w:leftFromText="141" w:rightFromText="141" w:vertAnchor="text" w:horzAnchor="margin" w:tblpXSpec="outside" w:tblpY="341"/>
        <w:tblW w:w="9083" w:type="dxa"/>
        <w:tblLayout w:type="fixed"/>
        <w:tblCellMar>
          <w:left w:w="70" w:type="dxa"/>
          <w:right w:w="70" w:type="dxa"/>
        </w:tblCellMar>
        <w:tblLook w:val="04A0" w:firstRow="1" w:lastRow="0" w:firstColumn="1" w:lastColumn="0" w:noHBand="0" w:noVBand="1"/>
      </w:tblPr>
      <w:tblGrid>
        <w:gridCol w:w="988"/>
        <w:gridCol w:w="1291"/>
        <w:gridCol w:w="1131"/>
        <w:gridCol w:w="1411"/>
        <w:gridCol w:w="1149"/>
        <w:gridCol w:w="987"/>
        <w:gridCol w:w="1046"/>
        <w:gridCol w:w="1080"/>
      </w:tblGrid>
      <w:tr w:rsidR="006F41B5" w:rsidRPr="003234C5" w14:paraId="4A2E7622" w14:textId="77777777" w:rsidTr="00897C91">
        <w:trPr>
          <w:trHeight w:val="227"/>
        </w:trPr>
        <w:tc>
          <w:tcPr>
            <w:tcW w:w="988"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5AA24F1" w14:textId="77777777" w:rsidR="006F41B5" w:rsidRPr="003234C5" w:rsidRDefault="006F41B5" w:rsidP="004D441C">
            <w:pPr>
              <w:suppressAutoHyphens w:val="0"/>
              <w:spacing w:after="0" w:line="240" w:lineRule="auto"/>
              <w:rPr>
                <w:rFonts w:ascii="Arial" w:eastAsia="Times New Roman" w:hAnsi="Arial" w:cs="Arial"/>
                <w:b/>
                <w:bCs/>
                <w:color w:val="000000"/>
                <w:kern w:val="0"/>
                <w:sz w:val="18"/>
                <w:szCs w:val="18"/>
                <w:lang w:eastAsia="pt-BR"/>
              </w:rPr>
            </w:pPr>
            <w:r w:rsidRPr="003234C5">
              <w:rPr>
                <w:rFonts w:ascii="Arial" w:eastAsia="Times New Roman" w:hAnsi="Arial" w:cs="Arial"/>
                <w:b/>
                <w:bCs/>
                <w:color w:val="000000"/>
                <w:kern w:val="0"/>
                <w:sz w:val="18"/>
                <w:szCs w:val="18"/>
                <w:lang w:eastAsia="pt-BR"/>
              </w:rPr>
              <w:t>ANO</w:t>
            </w:r>
          </w:p>
        </w:tc>
        <w:tc>
          <w:tcPr>
            <w:tcW w:w="1291" w:type="dxa"/>
            <w:tcBorders>
              <w:top w:val="single" w:sz="4" w:space="0" w:color="auto"/>
              <w:left w:val="nil"/>
              <w:bottom w:val="single" w:sz="4" w:space="0" w:color="auto"/>
              <w:right w:val="single" w:sz="4" w:space="0" w:color="auto"/>
            </w:tcBorders>
            <w:shd w:val="clear" w:color="auto" w:fill="auto"/>
            <w:vAlign w:val="bottom"/>
            <w:hideMark/>
          </w:tcPr>
          <w:p w14:paraId="7B580B3D" w14:textId="77777777" w:rsidR="006F41B5" w:rsidRPr="003234C5" w:rsidRDefault="006F41B5" w:rsidP="004D441C">
            <w:pPr>
              <w:suppressAutoHyphens w:val="0"/>
              <w:spacing w:after="0" w:line="240" w:lineRule="auto"/>
              <w:jc w:val="center"/>
              <w:rPr>
                <w:rFonts w:ascii="Arial" w:eastAsia="Times New Roman" w:hAnsi="Arial" w:cs="Arial"/>
                <w:b/>
                <w:bCs/>
                <w:color w:val="000000"/>
                <w:kern w:val="0"/>
                <w:sz w:val="18"/>
                <w:szCs w:val="18"/>
                <w:lang w:eastAsia="pt-BR"/>
              </w:rPr>
            </w:pPr>
            <w:r w:rsidRPr="003234C5">
              <w:rPr>
                <w:rFonts w:ascii="Arial" w:eastAsia="Times New Roman" w:hAnsi="Arial" w:cs="Arial"/>
                <w:b/>
                <w:bCs/>
                <w:color w:val="000000"/>
                <w:kern w:val="0"/>
                <w:sz w:val="18"/>
                <w:szCs w:val="18"/>
                <w:lang w:eastAsia="pt-BR"/>
              </w:rPr>
              <w:t>Parte Relacionada / Operações</w:t>
            </w:r>
          </w:p>
        </w:tc>
        <w:tc>
          <w:tcPr>
            <w:tcW w:w="1131" w:type="dxa"/>
            <w:tcBorders>
              <w:top w:val="single" w:sz="4" w:space="0" w:color="auto"/>
              <w:left w:val="nil"/>
              <w:bottom w:val="single" w:sz="4" w:space="0" w:color="auto"/>
              <w:right w:val="single" w:sz="4" w:space="0" w:color="auto"/>
            </w:tcBorders>
            <w:shd w:val="clear" w:color="auto" w:fill="auto"/>
            <w:vAlign w:val="bottom"/>
            <w:hideMark/>
          </w:tcPr>
          <w:p w14:paraId="7BB40D41" w14:textId="77777777" w:rsidR="006F41B5" w:rsidRPr="003234C5" w:rsidRDefault="006F41B5" w:rsidP="004D441C">
            <w:pPr>
              <w:suppressAutoHyphens w:val="0"/>
              <w:spacing w:after="0" w:line="240" w:lineRule="auto"/>
              <w:jc w:val="center"/>
              <w:rPr>
                <w:rFonts w:ascii="Arial" w:eastAsia="Times New Roman" w:hAnsi="Arial" w:cs="Arial"/>
                <w:b/>
                <w:bCs/>
                <w:color w:val="000000"/>
                <w:kern w:val="0"/>
                <w:sz w:val="18"/>
                <w:szCs w:val="18"/>
                <w:lang w:eastAsia="pt-BR"/>
              </w:rPr>
            </w:pPr>
            <w:r w:rsidRPr="003234C5">
              <w:rPr>
                <w:rFonts w:ascii="Arial" w:eastAsia="Times New Roman" w:hAnsi="Arial" w:cs="Arial"/>
                <w:b/>
                <w:bCs/>
                <w:color w:val="000000"/>
                <w:kern w:val="0"/>
                <w:sz w:val="18"/>
                <w:szCs w:val="18"/>
                <w:lang w:eastAsia="pt-BR"/>
              </w:rPr>
              <w:t>Fornecedor</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14:paraId="456D7E9C" w14:textId="77777777" w:rsidR="006F41B5" w:rsidRPr="003234C5" w:rsidRDefault="006F41B5" w:rsidP="004D441C">
            <w:pPr>
              <w:suppressAutoHyphens w:val="0"/>
              <w:spacing w:after="0" w:line="240" w:lineRule="auto"/>
              <w:jc w:val="center"/>
              <w:rPr>
                <w:rFonts w:ascii="Arial" w:eastAsia="Times New Roman" w:hAnsi="Arial" w:cs="Arial"/>
                <w:b/>
                <w:bCs/>
                <w:color w:val="000000"/>
                <w:kern w:val="0"/>
                <w:sz w:val="18"/>
                <w:szCs w:val="18"/>
                <w:lang w:eastAsia="pt-BR"/>
              </w:rPr>
            </w:pPr>
            <w:r w:rsidRPr="003234C5">
              <w:rPr>
                <w:rFonts w:ascii="Arial" w:eastAsia="Times New Roman" w:hAnsi="Arial" w:cs="Arial"/>
                <w:b/>
                <w:bCs/>
                <w:color w:val="000000"/>
                <w:kern w:val="0"/>
                <w:sz w:val="18"/>
                <w:szCs w:val="18"/>
                <w:lang w:eastAsia="pt-BR"/>
              </w:rPr>
              <w:t>Financiamento</w:t>
            </w:r>
          </w:p>
        </w:tc>
        <w:tc>
          <w:tcPr>
            <w:tcW w:w="1149" w:type="dxa"/>
            <w:tcBorders>
              <w:top w:val="single" w:sz="4" w:space="0" w:color="auto"/>
              <w:left w:val="nil"/>
              <w:bottom w:val="single" w:sz="4" w:space="0" w:color="auto"/>
              <w:right w:val="single" w:sz="4" w:space="0" w:color="auto"/>
            </w:tcBorders>
            <w:shd w:val="clear" w:color="auto" w:fill="auto"/>
            <w:vAlign w:val="bottom"/>
            <w:hideMark/>
          </w:tcPr>
          <w:p w14:paraId="149EF43A" w14:textId="77777777" w:rsidR="006F41B5" w:rsidRPr="003234C5" w:rsidRDefault="006F41B5" w:rsidP="004D441C">
            <w:pPr>
              <w:suppressAutoHyphens w:val="0"/>
              <w:spacing w:after="0" w:line="240" w:lineRule="auto"/>
              <w:jc w:val="center"/>
              <w:rPr>
                <w:rFonts w:ascii="Arial" w:eastAsia="Times New Roman" w:hAnsi="Arial" w:cs="Arial"/>
                <w:b/>
                <w:bCs/>
                <w:color w:val="000000"/>
                <w:kern w:val="0"/>
                <w:sz w:val="18"/>
                <w:szCs w:val="18"/>
                <w:lang w:eastAsia="pt-BR"/>
              </w:rPr>
            </w:pPr>
            <w:proofErr w:type="spellStart"/>
            <w:r w:rsidRPr="003234C5">
              <w:rPr>
                <w:rFonts w:ascii="Arial" w:eastAsia="Times New Roman" w:hAnsi="Arial" w:cs="Arial"/>
                <w:b/>
                <w:bCs/>
                <w:color w:val="000000"/>
                <w:kern w:val="0"/>
                <w:sz w:val="18"/>
                <w:szCs w:val="18"/>
                <w:lang w:eastAsia="pt-BR"/>
              </w:rPr>
              <w:t>Adiant</w:t>
            </w:r>
            <w:proofErr w:type="spellEnd"/>
            <w:r w:rsidRPr="003234C5">
              <w:rPr>
                <w:rFonts w:ascii="Arial" w:eastAsia="Times New Roman" w:hAnsi="Arial" w:cs="Arial"/>
                <w:b/>
                <w:bCs/>
                <w:color w:val="000000"/>
                <w:kern w:val="0"/>
                <w:sz w:val="18"/>
                <w:szCs w:val="18"/>
                <w:lang w:eastAsia="pt-BR"/>
              </w:rPr>
              <w:t>. a Fornecedor</w:t>
            </w:r>
          </w:p>
        </w:tc>
        <w:tc>
          <w:tcPr>
            <w:tcW w:w="987" w:type="dxa"/>
            <w:tcBorders>
              <w:top w:val="single" w:sz="4" w:space="0" w:color="auto"/>
              <w:left w:val="nil"/>
              <w:bottom w:val="single" w:sz="4" w:space="0" w:color="auto"/>
              <w:right w:val="single" w:sz="4" w:space="0" w:color="auto"/>
            </w:tcBorders>
            <w:shd w:val="clear" w:color="auto" w:fill="auto"/>
            <w:vAlign w:val="bottom"/>
            <w:hideMark/>
          </w:tcPr>
          <w:p w14:paraId="310C0879" w14:textId="77777777" w:rsidR="006F41B5" w:rsidRPr="003234C5" w:rsidRDefault="006F41B5" w:rsidP="004D441C">
            <w:pPr>
              <w:suppressAutoHyphens w:val="0"/>
              <w:spacing w:after="0" w:line="240" w:lineRule="auto"/>
              <w:jc w:val="center"/>
              <w:rPr>
                <w:rFonts w:ascii="Arial" w:eastAsia="Times New Roman" w:hAnsi="Arial" w:cs="Arial"/>
                <w:b/>
                <w:bCs/>
                <w:color w:val="000000"/>
                <w:kern w:val="0"/>
                <w:sz w:val="18"/>
                <w:szCs w:val="18"/>
                <w:lang w:eastAsia="pt-BR"/>
              </w:rPr>
            </w:pPr>
            <w:r w:rsidRPr="003234C5">
              <w:rPr>
                <w:rFonts w:ascii="Arial" w:eastAsia="Times New Roman" w:hAnsi="Arial" w:cs="Arial"/>
                <w:b/>
                <w:bCs/>
                <w:color w:val="000000"/>
                <w:kern w:val="0"/>
                <w:sz w:val="18"/>
                <w:szCs w:val="18"/>
                <w:lang w:eastAsia="pt-BR"/>
              </w:rPr>
              <w:t>Contas a Pagar</w:t>
            </w:r>
          </w:p>
        </w:tc>
        <w:tc>
          <w:tcPr>
            <w:tcW w:w="1046" w:type="dxa"/>
            <w:tcBorders>
              <w:top w:val="single" w:sz="4" w:space="0" w:color="auto"/>
              <w:left w:val="nil"/>
              <w:bottom w:val="single" w:sz="4" w:space="0" w:color="auto"/>
              <w:right w:val="single" w:sz="4" w:space="0" w:color="auto"/>
            </w:tcBorders>
            <w:shd w:val="clear" w:color="auto" w:fill="auto"/>
            <w:vAlign w:val="bottom"/>
            <w:hideMark/>
          </w:tcPr>
          <w:p w14:paraId="35ADD4A9" w14:textId="77777777" w:rsidR="006F41B5" w:rsidRPr="003234C5" w:rsidRDefault="006F41B5" w:rsidP="004D441C">
            <w:pPr>
              <w:suppressAutoHyphens w:val="0"/>
              <w:spacing w:after="0" w:line="240" w:lineRule="auto"/>
              <w:jc w:val="center"/>
              <w:rPr>
                <w:rFonts w:ascii="Arial" w:eastAsia="Times New Roman" w:hAnsi="Arial" w:cs="Arial"/>
                <w:b/>
                <w:bCs/>
                <w:color w:val="000000"/>
                <w:kern w:val="0"/>
                <w:sz w:val="18"/>
                <w:szCs w:val="18"/>
                <w:lang w:eastAsia="pt-BR"/>
              </w:rPr>
            </w:pPr>
            <w:r w:rsidRPr="003234C5">
              <w:rPr>
                <w:rFonts w:ascii="Arial" w:eastAsia="Times New Roman" w:hAnsi="Arial" w:cs="Arial"/>
                <w:b/>
                <w:bCs/>
                <w:color w:val="000000"/>
                <w:kern w:val="0"/>
                <w:sz w:val="18"/>
                <w:szCs w:val="18"/>
                <w:lang w:eastAsia="pt-BR"/>
              </w:rPr>
              <w:t>Contas a Receber</w:t>
            </w:r>
          </w:p>
        </w:tc>
        <w:tc>
          <w:tcPr>
            <w:tcW w:w="1080" w:type="dxa"/>
            <w:tcBorders>
              <w:top w:val="single" w:sz="4" w:space="0" w:color="auto"/>
              <w:left w:val="nil"/>
              <w:bottom w:val="single" w:sz="4" w:space="0" w:color="auto"/>
              <w:right w:val="single" w:sz="4" w:space="0" w:color="auto"/>
            </w:tcBorders>
            <w:vAlign w:val="bottom"/>
          </w:tcPr>
          <w:p w14:paraId="68C434E7" w14:textId="77777777" w:rsidR="006F41B5" w:rsidRPr="003234C5" w:rsidRDefault="006F41B5" w:rsidP="004D441C">
            <w:pPr>
              <w:suppressAutoHyphens w:val="0"/>
              <w:spacing w:after="0" w:line="240" w:lineRule="auto"/>
              <w:jc w:val="center"/>
              <w:rPr>
                <w:rFonts w:ascii="Arial" w:eastAsia="Times New Roman" w:hAnsi="Arial" w:cs="Arial"/>
                <w:b/>
                <w:bCs/>
                <w:color w:val="000000"/>
                <w:kern w:val="0"/>
                <w:sz w:val="18"/>
                <w:szCs w:val="18"/>
                <w:lang w:eastAsia="pt-BR"/>
              </w:rPr>
            </w:pPr>
            <w:proofErr w:type="spellStart"/>
            <w:r w:rsidRPr="003234C5">
              <w:rPr>
                <w:rFonts w:ascii="Arial" w:eastAsia="Times New Roman" w:hAnsi="Arial" w:cs="Arial"/>
                <w:b/>
                <w:bCs/>
                <w:color w:val="000000"/>
                <w:kern w:val="0"/>
                <w:sz w:val="18"/>
                <w:szCs w:val="18"/>
                <w:lang w:eastAsia="pt-BR"/>
              </w:rPr>
              <w:t>Div</w:t>
            </w:r>
            <w:proofErr w:type="spellEnd"/>
            <w:r w:rsidRPr="003234C5">
              <w:rPr>
                <w:rFonts w:ascii="Arial" w:eastAsia="Times New Roman" w:hAnsi="Arial" w:cs="Arial"/>
                <w:b/>
                <w:bCs/>
                <w:color w:val="000000"/>
                <w:kern w:val="0"/>
                <w:sz w:val="18"/>
                <w:szCs w:val="18"/>
                <w:lang w:eastAsia="pt-BR"/>
              </w:rPr>
              <w:t>. Mínimos (25%)</w:t>
            </w:r>
          </w:p>
        </w:tc>
      </w:tr>
      <w:tr w:rsidR="008F54D6" w:rsidRPr="003234C5" w14:paraId="2EAC8A2E" w14:textId="77777777" w:rsidTr="00897C91">
        <w:trPr>
          <w:trHeight w:val="227"/>
        </w:trPr>
        <w:tc>
          <w:tcPr>
            <w:tcW w:w="988"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7376C59F" w14:textId="5ECA92E2" w:rsidR="008F54D6" w:rsidRPr="003234C5" w:rsidRDefault="00C6257E" w:rsidP="004D441C">
            <w:pPr>
              <w:suppressAutoHyphens w:val="0"/>
              <w:spacing w:after="0" w:line="240" w:lineRule="auto"/>
              <w:jc w:val="center"/>
              <w:rPr>
                <w:rFonts w:ascii="Arial" w:eastAsia="Times New Roman" w:hAnsi="Arial" w:cs="Arial"/>
                <w:b/>
                <w:bCs/>
                <w:color w:val="000000"/>
                <w:kern w:val="0"/>
                <w:sz w:val="18"/>
                <w:szCs w:val="18"/>
                <w:lang w:eastAsia="pt-BR"/>
              </w:rPr>
            </w:pPr>
            <w:r>
              <w:rPr>
                <w:rFonts w:ascii="Arial" w:eastAsia="Batang" w:hAnsi="Arial" w:cs="Arial"/>
                <w:b/>
                <w:bCs/>
                <w:color w:val="000000"/>
                <w:kern w:val="0"/>
                <w:sz w:val="18"/>
                <w:szCs w:val="18"/>
                <w:lang w:eastAsia="pt-BR"/>
              </w:rPr>
              <w:t>2019</w:t>
            </w:r>
          </w:p>
        </w:tc>
        <w:tc>
          <w:tcPr>
            <w:tcW w:w="1291" w:type="dxa"/>
            <w:tcBorders>
              <w:top w:val="nil"/>
              <w:left w:val="nil"/>
              <w:bottom w:val="single" w:sz="4" w:space="0" w:color="auto"/>
              <w:right w:val="single" w:sz="4" w:space="0" w:color="auto"/>
            </w:tcBorders>
            <w:shd w:val="clear" w:color="auto" w:fill="auto"/>
            <w:noWrap/>
            <w:vAlign w:val="bottom"/>
            <w:hideMark/>
          </w:tcPr>
          <w:p w14:paraId="2E886BB5" w14:textId="77777777" w:rsidR="008F54D6" w:rsidRPr="003234C5" w:rsidRDefault="008F54D6" w:rsidP="004D441C">
            <w:pPr>
              <w:suppressAutoHyphens w:val="0"/>
              <w:spacing w:after="0" w:line="240" w:lineRule="auto"/>
              <w:rPr>
                <w:rFonts w:ascii="Arial" w:eastAsia="Times New Roman" w:hAnsi="Arial" w:cs="Arial"/>
                <w:color w:val="000000"/>
                <w:kern w:val="0"/>
                <w:sz w:val="18"/>
                <w:szCs w:val="18"/>
                <w:lang w:eastAsia="pt-BR"/>
              </w:rPr>
            </w:pPr>
            <w:r w:rsidRPr="003234C5">
              <w:rPr>
                <w:rFonts w:ascii="Arial" w:eastAsia="Batang" w:hAnsi="Arial" w:cs="Arial"/>
                <w:color w:val="000000"/>
                <w:kern w:val="0"/>
                <w:sz w:val="18"/>
                <w:szCs w:val="18"/>
                <w:lang w:eastAsia="pt-BR"/>
              </w:rPr>
              <w:t xml:space="preserve"> Estado Ceará </w:t>
            </w:r>
          </w:p>
        </w:tc>
        <w:tc>
          <w:tcPr>
            <w:tcW w:w="1131" w:type="dxa"/>
            <w:tcBorders>
              <w:top w:val="nil"/>
              <w:left w:val="nil"/>
              <w:bottom w:val="single" w:sz="4" w:space="0" w:color="auto"/>
              <w:right w:val="single" w:sz="4" w:space="0" w:color="auto"/>
            </w:tcBorders>
            <w:shd w:val="clear" w:color="auto" w:fill="auto"/>
            <w:noWrap/>
            <w:vAlign w:val="bottom"/>
          </w:tcPr>
          <w:p w14:paraId="4298DDD7" w14:textId="2AEF9081" w:rsidR="008F54D6" w:rsidRPr="003234C5" w:rsidRDefault="003E02D1"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411" w:type="dxa"/>
            <w:tcBorders>
              <w:top w:val="nil"/>
              <w:left w:val="nil"/>
              <w:bottom w:val="single" w:sz="4" w:space="0" w:color="auto"/>
              <w:right w:val="single" w:sz="4" w:space="0" w:color="auto"/>
            </w:tcBorders>
            <w:shd w:val="clear" w:color="auto" w:fill="auto"/>
            <w:noWrap/>
            <w:vAlign w:val="bottom"/>
          </w:tcPr>
          <w:p w14:paraId="7D8347D6" w14:textId="43877497" w:rsidR="008F54D6" w:rsidRPr="003234C5" w:rsidRDefault="003E02D1"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149" w:type="dxa"/>
            <w:tcBorders>
              <w:top w:val="nil"/>
              <w:left w:val="nil"/>
              <w:bottom w:val="single" w:sz="4" w:space="0" w:color="auto"/>
              <w:right w:val="single" w:sz="4" w:space="0" w:color="auto"/>
            </w:tcBorders>
            <w:shd w:val="clear" w:color="auto" w:fill="auto"/>
            <w:noWrap/>
            <w:vAlign w:val="bottom"/>
          </w:tcPr>
          <w:p w14:paraId="3067C891" w14:textId="3E909986" w:rsidR="008F54D6" w:rsidRPr="003234C5" w:rsidRDefault="003E02D1"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188624D7" w14:textId="4C5E8D42" w:rsidR="008F54D6" w:rsidRPr="003234C5" w:rsidRDefault="003E02D1"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046" w:type="dxa"/>
            <w:tcBorders>
              <w:top w:val="single" w:sz="4" w:space="0" w:color="auto"/>
              <w:left w:val="nil"/>
              <w:bottom w:val="single" w:sz="4" w:space="0" w:color="auto"/>
              <w:right w:val="single" w:sz="4" w:space="0" w:color="auto"/>
            </w:tcBorders>
            <w:shd w:val="clear" w:color="auto" w:fill="auto"/>
            <w:noWrap/>
            <w:vAlign w:val="bottom"/>
          </w:tcPr>
          <w:p w14:paraId="6D400E7D" w14:textId="625E062D" w:rsidR="008F54D6" w:rsidRPr="003234C5" w:rsidRDefault="003E02D1"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080" w:type="dxa"/>
            <w:tcBorders>
              <w:top w:val="single" w:sz="4" w:space="0" w:color="auto"/>
              <w:left w:val="nil"/>
              <w:bottom w:val="single" w:sz="4" w:space="0" w:color="auto"/>
              <w:right w:val="single" w:sz="4" w:space="0" w:color="auto"/>
            </w:tcBorders>
            <w:vAlign w:val="center"/>
          </w:tcPr>
          <w:p w14:paraId="4D78CF10" w14:textId="1EF3FC64" w:rsidR="008F54D6" w:rsidRPr="003234C5" w:rsidRDefault="00194F6D"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470</w:t>
            </w:r>
          </w:p>
        </w:tc>
      </w:tr>
      <w:tr w:rsidR="003D4C83" w:rsidRPr="003234C5" w14:paraId="7171053C" w14:textId="77777777" w:rsidTr="00897C91">
        <w:trPr>
          <w:trHeight w:val="227"/>
        </w:trPr>
        <w:tc>
          <w:tcPr>
            <w:tcW w:w="988" w:type="dxa"/>
            <w:vMerge/>
            <w:tcBorders>
              <w:top w:val="nil"/>
              <w:left w:val="single" w:sz="4" w:space="0" w:color="auto"/>
              <w:bottom w:val="single" w:sz="4" w:space="0" w:color="000000"/>
              <w:right w:val="single" w:sz="4" w:space="0" w:color="auto"/>
            </w:tcBorders>
            <w:vAlign w:val="center"/>
            <w:hideMark/>
          </w:tcPr>
          <w:p w14:paraId="2C3DD9BC" w14:textId="77777777" w:rsidR="003D4C83" w:rsidRPr="003234C5" w:rsidRDefault="003D4C83" w:rsidP="004D441C">
            <w:pPr>
              <w:suppressAutoHyphens w:val="0"/>
              <w:spacing w:after="0" w:line="240" w:lineRule="auto"/>
              <w:rPr>
                <w:rFonts w:ascii="Arial" w:eastAsia="Times New Roman" w:hAnsi="Arial" w:cs="Arial"/>
                <w:b/>
                <w:bCs/>
                <w:color w:val="000000"/>
                <w:kern w:val="0"/>
                <w:sz w:val="18"/>
                <w:szCs w:val="18"/>
                <w:lang w:eastAsia="pt-BR"/>
              </w:rPr>
            </w:pPr>
          </w:p>
        </w:tc>
        <w:tc>
          <w:tcPr>
            <w:tcW w:w="1291" w:type="dxa"/>
            <w:tcBorders>
              <w:top w:val="nil"/>
              <w:left w:val="nil"/>
              <w:bottom w:val="single" w:sz="4" w:space="0" w:color="auto"/>
              <w:right w:val="single" w:sz="4" w:space="0" w:color="auto"/>
            </w:tcBorders>
            <w:shd w:val="clear" w:color="auto" w:fill="auto"/>
            <w:noWrap/>
            <w:vAlign w:val="bottom"/>
            <w:hideMark/>
          </w:tcPr>
          <w:p w14:paraId="5BD6BEA9" w14:textId="77777777" w:rsidR="003D4C83" w:rsidRPr="003234C5" w:rsidRDefault="003D4C83" w:rsidP="004D441C">
            <w:pPr>
              <w:suppressAutoHyphens w:val="0"/>
              <w:spacing w:after="0" w:line="240" w:lineRule="auto"/>
              <w:rPr>
                <w:rFonts w:ascii="Arial" w:eastAsia="Times New Roman" w:hAnsi="Arial" w:cs="Arial"/>
                <w:color w:val="000000"/>
                <w:kern w:val="0"/>
                <w:sz w:val="18"/>
                <w:szCs w:val="18"/>
                <w:lang w:eastAsia="pt-BR"/>
              </w:rPr>
            </w:pPr>
            <w:r w:rsidRPr="003234C5">
              <w:rPr>
                <w:rFonts w:ascii="Arial" w:eastAsia="Times New Roman" w:hAnsi="Arial" w:cs="Arial"/>
                <w:color w:val="000000"/>
                <w:kern w:val="0"/>
                <w:sz w:val="18"/>
                <w:szCs w:val="18"/>
                <w:lang w:eastAsia="pt-BR"/>
              </w:rPr>
              <w:t xml:space="preserve"> Petrobras </w:t>
            </w:r>
          </w:p>
        </w:tc>
        <w:tc>
          <w:tcPr>
            <w:tcW w:w="1131" w:type="dxa"/>
            <w:tcBorders>
              <w:top w:val="nil"/>
              <w:left w:val="nil"/>
              <w:bottom w:val="single" w:sz="4" w:space="0" w:color="auto"/>
              <w:right w:val="single" w:sz="4" w:space="0" w:color="auto"/>
            </w:tcBorders>
            <w:shd w:val="clear" w:color="auto" w:fill="auto"/>
            <w:noWrap/>
            <w:vAlign w:val="center"/>
          </w:tcPr>
          <w:p w14:paraId="585D5088" w14:textId="12A3CFA7" w:rsidR="003D4C83" w:rsidRPr="003234C5" w:rsidRDefault="00543039"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69.345</w:t>
            </w:r>
          </w:p>
        </w:tc>
        <w:tc>
          <w:tcPr>
            <w:tcW w:w="1411" w:type="dxa"/>
            <w:tcBorders>
              <w:top w:val="nil"/>
              <w:left w:val="nil"/>
              <w:bottom w:val="single" w:sz="4" w:space="0" w:color="auto"/>
              <w:right w:val="single" w:sz="4" w:space="0" w:color="auto"/>
            </w:tcBorders>
            <w:shd w:val="clear" w:color="auto" w:fill="auto"/>
            <w:noWrap/>
            <w:vAlign w:val="center"/>
          </w:tcPr>
          <w:p w14:paraId="0EE743E8" w14:textId="7CBDC2DA" w:rsidR="003D4C83" w:rsidRPr="003234C5" w:rsidRDefault="00424063"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12.134</w:t>
            </w:r>
          </w:p>
        </w:tc>
        <w:tc>
          <w:tcPr>
            <w:tcW w:w="1149" w:type="dxa"/>
            <w:tcBorders>
              <w:top w:val="nil"/>
              <w:left w:val="nil"/>
              <w:bottom w:val="single" w:sz="4" w:space="0" w:color="auto"/>
              <w:right w:val="single" w:sz="4" w:space="0" w:color="auto"/>
            </w:tcBorders>
            <w:shd w:val="clear" w:color="auto" w:fill="auto"/>
            <w:noWrap/>
            <w:vAlign w:val="center"/>
          </w:tcPr>
          <w:p w14:paraId="5924CE3B" w14:textId="416C1FBC" w:rsidR="003D4C83" w:rsidRPr="003234C5" w:rsidRDefault="000142B6" w:rsidP="004D441C">
            <w:pPr>
              <w:suppressAutoHyphens w:val="0"/>
              <w:spacing w:after="0" w:line="240" w:lineRule="auto"/>
              <w:jc w:val="right"/>
              <w:rPr>
                <w:rFonts w:ascii="Arial" w:eastAsia="Times New Roman" w:hAnsi="Arial" w:cs="Arial"/>
                <w:kern w:val="0"/>
                <w:sz w:val="18"/>
                <w:szCs w:val="18"/>
                <w:lang w:eastAsia="pt-BR"/>
              </w:rPr>
            </w:pPr>
            <w:r w:rsidRPr="00F16BC1">
              <w:rPr>
                <w:rFonts w:ascii="Arial" w:eastAsia="Times New Roman" w:hAnsi="Arial" w:cs="Arial"/>
                <w:kern w:val="0"/>
                <w:sz w:val="18"/>
                <w:szCs w:val="18"/>
                <w:lang w:eastAsia="pt-BR"/>
              </w:rPr>
              <w:t>38.934</w:t>
            </w:r>
          </w:p>
        </w:tc>
        <w:tc>
          <w:tcPr>
            <w:tcW w:w="987" w:type="dxa"/>
            <w:tcBorders>
              <w:top w:val="single" w:sz="4" w:space="0" w:color="auto"/>
              <w:left w:val="nil"/>
              <w:bottom w:val="single" w:sz="4" w:space="0" w:color="auto"/>
              <w:right w:val="single" w:sz="4" w:space="0" w:color="auto"/>
            </w:tcBorders>
            <w:shd w:val="clear" w:color="auto" w:fill="auto"/>
            <w:noWrap/>
            <w:vAlign w:val="center"/>
          </w:tcPr>
          <w:p w14:paraId="74089B0D" w14:textId="676C0271" w:rsidR="003D4C83" w:rsidRPr="003234C5" w:rsidRDefault="00CD071F"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046" w:type="dxa"/>
            <w:tcBorders>
              <w:top w:val="single" w:sz="4" w:space="0" w:color="auto"/>
              <w:left w:val="nil"/>
              <w:bottom w:val="single" w:sz="4" w:space="0" w:color="auto"/>
              <w:right w:val="single" w:sz="4" w:space="0" w:color="auto"/>
            </w:tcBorders>
            <w:shd w:val="clear" w:color="auto" w:fill="auto"/>
            <w:noWrap/>
            <w:vAlign w:val="center"/>
          </w:tcPr>
          <w:p w14:paraId="093137F7" w14:textId="7F2AA0C8" w:rsidR="003D4C83" w:rsidRPr="003234C5" w:rsidRDefault="00F978E0"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1.131</w:t>
            </w:r>
          </w:p>
        </w:tc>
        <w:tc>
          <w:tcPr>
            <w:tcW w:w="1080" w:type="dxa"/>
            <w:tcBorders>
              <w:top w:val="single" w:sz="4" w:space="0" w:color="auto"/>
              <w:left w:val="nil"/>
              <w:bottom w:val="single" w:sz="4" w:space="0" w:color="auto"/>
              <w:right w:val="single" w:sz="4" w:space="0" w:color="auto"/>
            </w:tcBorders>
            <w:vAlign w:val="center"/>
          </w:tcPr>
          <w:p w14:paraId="403CA41F" w14:textId="35A6958C" w:rsidR="003D4C83" w:rsidRPr="003234C5" w:rsidRDefault="00CD071F"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r>
      <w:tr w:rsidR="008F54D6" w:rsidRPr="003234C5" w14:paraId="0D23D8B7" w14:textId="77777777" w:rsidTr="00897C91">
        <w:trPr>
          <w:trHeight w:val="227"/>
        </w:trPr>
        <w:tc>
          <w:tcPr>
            <w:tcW w:w="988" w:type="dxa"/>
            <w:vMerge/>
            <w:tcBorders>
              <w:top w:val="nil"/>
              <w:left w:val="single" w:sz="4" w:space="0" w:color="auto"/>
              <w:bottom w:val="single" w:sz="4" w:space="0" w:color="000000"/>
              <w:right w:val="single" w:sz="4" w:space="0" w:color="auto"/>
            </w:tcBorders>
            <w:vAlign w:val="center"/>
            <w:hideMark/>
          </w:tcPr>
          <w:p w14:paraId="17E2D60C" w14:textId="77777777" w:rsidR="008F54D6" w:rsidRPr="003234C5" w:rsidRDefault="008F54D6" w:rsidP="004D441C">
            <w:pPr>
              <w:suppressAutoHyphens w:val="0"/>
              <w:spacing w:after="0" w:line="240" w:lineRule="auto"/>
              <w:rPr>
                <w:rFonts w:ascii="Arial" w:eastAsia="Times New Roman" w:hAnsi="Arial" w:cs="Arial"/>
                <w:b/>
                <w:bCs/>
                <w:color w:val="000000"/>
                <w:kern w:val="0"/>
                <w:sz w:val="18"/>
                <w:szCs w:val="18"/>
                <w:lang w:eastAsia="pt-BR"/>
              </w:rPr>
            </w:pPr>
          </w:p>
        </w:tc>
        <w:tc>
          <w:tcPr>
            <w:tcW w:w="1291" w:type="dxa"/>
            <w:tcBorders>
              <w:top w:val="nil"/>
              <w:left w:val="nil"/>
              <w:bottom w:val="single" w:sz="4" w:space="0" w:color="auto"/>
              <w:right w:val="single" w:sz="4" w:space="0" w:color="auto"/>
            </w:tcBorders>
            <w:shd w:val="clear" w:color="auto" w:fill="auto"/>
            <w:noWrap/>
            <w:vAlign w:val="bottom"/>
            <w:hideMark/>
          </w:tcPr>
          <w:p w14:paraId="743A3896" w14:textId="77777777" w:rsidR="008F54D6" w:rsidRPr="003234C5" w:rsidRDefault="008F54D6" w:rsidP="004D441C">
            <w:pPr>
              <w:suppressAutoHyphens w:val="0"/>
              <w:spacing w:after="0" w:line="240" w:lineRule="auto"/>
              <w:rPr>
                <w:rFonts w:ascii="Arial" w:eastAsia="Times New Roman" w:hAnsi="Arial" w:cs="Arial"/>
                <w:color w:val="000000"/>
                <w:kern w:val="0"/>
                <w:sz w:val="18"/>
                <w:szCs w:val="18"/>
                <w:lang w:eastAsia="pt-BR"/>
              </w:rPr>
            </w:pPr>
            <w:r w:rsidRPr="003234C5">
              <w:rPr>
                <w:rFonts w:ascii="Arial" w:eastAsia="Times New Roman" w:hAnsi="Arial" w:cs="Arial"/>
                <w:color w:val="000000"/>
                <w:kern w:val="0"/>
                <w:sz w:val="18"/>
                <w:szCs w:val="18"/>
                <w:lang w:eastAsia="pt-BR"/>
              </w:rPr>
              <w:t xml:space="preserve"> </w:t>
            </w:r>
            <w:proofErr w:type="spellStart"/>
            <w:r w:rsidRPr="003234C5">
              <w:rPr>
                <w:rFonts w:ascii="Arial" w:eastAsia="Times New Roman" w:hAnsi="Arial" w:cs="Arial"/>
                <w:color w:val="000000"/>
                <w:kern w:val="0"/>
                <w:sz w:val="18"/>
                <w:szCs w:val="18"/>
                <w:lang w:eastAsia="pt-BR"/>
              </w:rPr>
              <w:t>Gaspetro</w:t>
            </w:r>
            <w:proofErr w:type="spellEnd"/>
            <w:r w:rsidRPr="003234C5">
              <w:rPr>
                <w:rFonts w:ascii="Arial" w:eastAsia="Times New Roman" w:hAnsi="Arial" w:cs="Arial"/>
                <w:color w:val="000000"/>
                <w:kern w:val="0"/>
                <w:sz w:val="18"/>
                <w:szCs w:val="18"/>
                <w:lang w:eastAsia="pt-BR"/>
              </w:rPr>
              <w:t xml:space="preserve"> </w:t>
            </w:r>
          </w:p>
        </w:tc>
        <w:tc>
          <w:tcPr>
            <w:tcW w:w="1131" w:type="dxa"/>
            <w:tcBorders>
              <w:top w:val="nil"/>
              <w:left w:val="nil"/>
              <w:bottom w:val="single" w:sz="4" w:space="0" w:color="auto"/>
              <w:right w:val="single" w:sz="4" w:space="0" w:color="auto"/>
            </w:tcBorders>
            <w:shd w:val="clear" w:color="auto" w:fill="auto"/>
            <w:noWrap/>
            <w:vAlign w:val="bottom"/>
          </w:tcPr>
          <w:p w14:paraId="7899D577" w14:textId="171CA1F6" w:rsidR="008F54D6" w:rsidRPr="003234C5" w:rsidRDefault="007718AB"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411" w:type="dxa"/>
            <w:tcBorders>
              <w:top w:val="nil"/>
              <w:left w:val="nil"/>
              <w:bottom w:val="single" w:sz="4" w:space="0" w:color="auto"/>
              <w:right w:val="single" w:sz="4" w:space="0" w:color="auto"/>
            </w:tcBorders>
            <w:shd w:val="clear" w:color="auto" w:fill="auto"/>
            <w:noWrap/>
            <w:vAlign w:val="bottom"/>
          </w:tcPr>
          <w:p w14:paraId="409F238D" w14:textId="407E1D34" w:rsidR="008F54D6" w:rsidRPr="003234C5" w:rsidRDefault="007718AB"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149" w:type="dxa"/>
            <w:tcBorders>
              <w:top w:val="nil"/>
              <w:left w:val="nil"/>
              <w:bottom w:val="single" w:sz="4" w:space="0" w:color="auto"/>
              <w:right w:val="single" w:sz="4" w:space="0" w:color="auto"/>
            </w:tcBorders>
            <w:shd w:val="clear" w:color="auto" w:fill="auto"/>
            <w:noWrap/>
            <w:vAlign w:val="bottom"/>
          </w:tcPr>
          <w:p w14:paraId="3423B2AA" w14:textId="41332EA1" w:rsidR="008F54D6" w:rsidRPr="003234C5" w:rsidRDefault="007718AB"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987" w:type="dxa"/>
            <w:tcBorders>
              <w:top w:val="single" w:sz="4" w:space="0" w:color="auto"/>
              <w:left w:val="nil"/>
              <w:bottom w:val="single" w:sz="4" w:space="0" w:color="auto"/>
              <w:right w:val="single" w:sz="4" w:space="0" w:color="auto"/>
            </w:tcBorders>
            <w:shd w:val="clear" w:color="auto" w:fill="auto"/>
            <w:noWrap/>
            <w:vAlign w:val="center"/>
          </w:tcPr>
          <w:p w14:paraId="5889E073" w14:textId="4C46728B" w:rsidR="008F54D6" w:rsidRPr="003234C5" w:rsidRDefault="007B788C"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21</w:t>
            </w:r>
          </w:p>
        </w:tc>
        <w:tc>
          <w:tcPr>
            <w:tcW w:w="1046" w:type="dxa"/>
            <w:tcBorders>
              <w:top w:val="single" w:sz="4" w:space="0" w:color="auto"/>
              <w:left w:val="nil"/>
              <w:bottom w:val="single" w:sz="4" w:space="0" w:color="auto"/>
              <w:right w:val="single" w:sz="4" w:space="0" w:color="auto"/>
            </w:tcBorders>
            <w:shd w:val="clear" w:color="auto" w:fill="auto"/>
            <w:noWrap/>
            <w:vAlign w:val="bottom"/>
          </w:tcPr>
          <w:p w14:paraId="3C747A90" w14:textId="6390AF0D" w:rsidR="008F54D6" w:rsidRPr="003234C5" w:rsidRDefault="007718AB"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080" w:type="dxa"/>
            <w:tcBorders>
              <w:top w:val="single" w:sz="4" w:space="0" w:color="auto"/>
              <w:left w:val="nil"/>
              <w:bottom w:val="single" w:sz="4" w:space="0" w:color="auto"/>
              <w:right w:val="single" w:sz="4" w:space="0" w:color="auto"/>
            </w:tcBorders>
            <w:vAlign w:val="center"/>
          </w:tcPr>
          <w:p w14:paraId="5B8EB789" w14:textId="3E9F260B" w:rsidR="008F54D6" w:rsidRPr="003234C5" w:rsidRDefault="00741142"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2.962</w:t>
            </w:r>
          </w:p>
        </w:tc>
      </w:tr>
      <w:tr w:rsidR="008F54D6" w:rsidRPr="003234C5" w14:paraId="59D0B2DF" w14:textId="77777777" w:rsidTr="00897C91">
        <w:trPr>
          <w:trHeight w:val="227"/>
        </w:trPr>
        <w:tc>
          <w:tcPr>
            <w:tcW w:w="988" w:type="dxa"/>
            <w:vMerge/>
            <w:tcBorders>
              <w:top w:val="nil"/>
              <w:left w:val="single" w:sz="4" w:space="0" w:color="auto"/>
              <w:bottom w:val="single" w:sz="4" w:space="0" w:color="000000"/>
              <w:right w:val="single" w:sz="4" w:space="0" w:color="auto"/>
            </w:tcBorders>
            <w:vAlign w:val="center"/>
            <w:hideMark/>
          </w:tcPr>
          <w:p w14:paraId="6234753D" w14:textId="77777777" w:rsidR="008F54D6" w:rsidRPr="003234C5" w:rsidRDefault="008F54D6" w:rsidP="004D441C">
            <w:pPr>
              <w:suppressAutoHyphens w:val="0"/>
              <w:spacing w:after="0" w:line="240" w:lineRule="auto"/>
              <w:rPr>
                <w:rFonts w:ascii="Arial" w:eastAsia="Times New Roman" w:hAnsi="Arial" w:cs="Arial"/>
                <w:b/>
                <w:bCs/>
                <w:color w:val="000000"/>
                <w:kern w:val="0"/>
                <w:sz w:val="18"/>
                <w:szCs w:val="18"/>
                <w:lang w:eastAsia="pt-BR"/>
              </w:rPr>
            </w:pPr>
          </w:p>
        </w:tc>
        <w:tc>
          <w:tcPr>
            <w:tcW w:w="1291" w:type="dxa"/>
            <w:tcBorders>
              <w:top w:val="nil"/>
              <w:left w:val="nil"/>
              <w:bottom w:val="single" w:sz="4" w:space="0" w:color="auto"/>
              <w:right w:val="single" w:sz="4" w:space="0" w:color="auto"/>
            </w:tcBorders>
            <w:shd w:val="clear" w:color="auto" w:fill="auto"/>
            <w:noWrap/>
            <w:vAlign w:val="bottom"/>
            <w:hideMark/>
          </w:tcPr>
          <w:p w14:paraId="11828B37" w14:textId="77777777" w:rsidR="008F54D6" w:rsidRPr="003234C5" w:rsidRDefault="008F54D6" w:rsidP="004D441C">
            <w:pPr>
              <w:suppressAutoHyphens w:val="0"/>
              <w:spacing w:after="0" w:line="240" w:lineRule="auto"/>
              <w:rPr>
                <w:rFonts w:ascii="Arial" w:eastAsia="Times New Roman" w:hAnsi="Arial" w:cs="Arial"/>
                <w:color w:val="000000"/>
                <w:kern w:val="0"/>
                <w:sz w:val="18"/>
                <w:szCs w:val="18"/>
                <w:lang w:eastAsia="pt-BR"/>
              </w:rPr>
            </w:pPr>
            <w:r w:rsidRPr="003234C5">
              <w:rPr>
                <w:rFonts w:ascii="Arial" w:eastAsia="Batang" w:hAnsi="Arial" w:cs="Arial"/>
                <w:color w:val="000000"/>
                <w:kern w:val="0"/>
                <w:sz w:val="18"/>
                <w:szCs w:val="18"/>
                <w:lang w:eastAsia="pt-BR"/>
              </w:rPr>
              <w:t xml:space="preserve"> Mitsui </w:t>
            </w:r>
          </w:p>
        </w:tc>
        <w:tc>
          <w:tcPr>
            <w:tcW w:w="1131" w:type="dxa"/>
            <w:tcBorders>
              <w:top w:val="nil"/>
              <w:left w:val="nil"/>
              <w:bottom w:val="single" w:sz="4" w:space="0" w:color="auto"/>
              <w:right w:val="single" w:sz="4" w:space="0" w:color="auto"/>
            </w:tcBorders>
            <w:shd w:val="clear" w:color="auto" w:fill="auto"/>
            <w:noWrap/>
            <w:vAlign w:val="bottom"/>
          </w:tcPr>
          <w:p w14:paraId="58237F97" w14:textId="40987A63" w:rsidR="008F54D6" w:rsidRPr="003234C5" w:rsidRDefault="007718AB"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411" w:type="dxa"/>
            <w:tcBorders>
              <w:top w:val="nil"/>
              <w:left w:val="nil"/>
              <w:bottom w:val="single" w:sz="4" w:space="0" w:color="auto"/>
              <w:right w:val="single" w:sz="4" w:space="0" w:color="auto"/>
            </w:tcBorders>
            <w:shd w:val="clear" w:color="auto" w:fill="auto"/>
            <w:noWrap/>
            <w:vAlign w:val="bottom"/>
          </w:tcPr>
          <w:p w14:paraId="64E2B00D" w14:textId="349BFAB0" w:rsidR="008F54D6" w:rsidRPr="003234C5" w:rsidRDefault="007718AB"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149" w:type="dxa"/>
            <w:tcBorders>
              <w:top w:val="nil"/>
              <w:left w:val="nil"/>
              <w:bottom w:val="single" w:sz="4" w:space="0" w:color="auto"/>
              <w:right w:val="single" w:sz="4" w:space="0" w:color="auto"/>
            </w:tcBorders>
            <w:shd w:val="clear" w:color="auto" w:fill="auto"/>
            <w:noWrap/>
            <w:vAlign w:val="bottom"/>
          </w:tcPr>
          <w:p w14:paraId="6788C7A6" w14:textId="5EECF9CB" w:rsidR="008F54D6" w:rsidRPr="003234C5" w:rsidRDefault="007718AB"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987" w:type="dxa"/>
            <w:tcBorders>
              <w:top w:val="single" w:sz="4" w:space="0" w:color="auto"/>
              <w:left w:val="nil"/>
              <w:bottom w:val="single" w:sz="4" w:space="0" w:color="auto"/>
              <w:right w:val="single" w:sz="4" w:space="0" w:color="auto"/>
            </w:tcBorders>
            <w:shd w:val="clear" w:color="auto" w:fill="auto"/>
            <w:noWrap/>
            <w:vAlign w:val="center"/>
          </w:tcPr>
          <w:p w14:paraId="05601ED9" w14:textId="6084C84A" w:rsidR="008F54D6" w:rsidRPr="003234C5" w:rsidRDefault="007B788C"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75</w:t>
            </w:r>
          </w:p>
        </w:tc>
        <w:tc>
          <w:tcPr>
            <w:tcW w:w="1046" w:type="dxa"/>
            <w:tcBorders>
              <w:top w:val="single" w:sz="4" w:space="0" w:color="auto"/>
              <w:left w:val="nil"/>
              <w:bottom w:val="single" w:sz="4" w:space="0" w:color="auto"/>
              <w:right w:val="single" w:sz="4" w:space="0" w:color="auto"/>
            </w:tcBorders>
            <w:shd w:val="clear" w:color="auto" w:fill="auto"/>
            <w:noWrap/>
            <w:vAlign w:val="center"/>
          </w:tcPr>
          <w:p w14:paraId="538C21C1" w14:textId="4437C201" w:rsidR="008F54D6" w:rsidRPr="003234C5" w:rsidRDefault="007718AB"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w:t>
            </w:r>
          </w:p>
        </w:tc>
        <w:tc>
          <w:tcPr>
            <w:tcW w:w="1080" w:type="dxa"/>
            <w:tcBorders>
              <w:top w:val="single" w:sz="4" w:space="0" w:color="auto"/>
              <w:left w:val="nil"/>
              <w:bottom w:val="single" w:sz="4" w:space="0" w:color="auto"/>
              <w:right w:val="single" w:sz="4" w:space="0" w:color="auto"/>
            </w:tcBorders>
            <w:vAlign w:val="center"/>
          </w:tcPr>
          <w:p w14:paraId="41F7C86C" w14:textId="0DAB14C6" w:rsidR="008F54D6" w:rsidRPr="003234C5" w:rsidRDefault="00741142" w:rsidP="004D441C">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2.962</w:t>
            </w:r>
          </w:p>
        </w:tc>
      </w:tr>
      <w:tr w:rsidR="00325506" w:rsidRPr="003234C5" w14:paraId="7A6CDEC4" w14:textId="77777777" w:rsidTr="00897C91">
        <w:trPr>
          <w:trHeight w:val="227"/>
        </w:trPr>
        <w:tc>
          <w:tcPr>
            <w:tcW w:w="988"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366AF479" w14:textId="2D3E04FD" w:rsidR="00325506" w:rsidRPr="003234C5" w:rsidRDefault="00C6257E" w:rsidP="004D441C">
            <w:pPr>
              <w:suppressAutoHyphens w:val="0"/>
              <w:spacing w:after="0" w:line="240" w:lineRule="auto"/>
              <w:jc w:val="center"/>
              <w:rPr>
                <w:rFonts w:ascii="Arial" w:eastAsia="Times New Roman" w:hAnsi="Arial" w:cs="Arial"/>
                <w:b/>
                <w:bCs/>
                <w:color w:val="000000"/>
                <w:kern w:val="0"/>
                <w:sz w:val="18"/>
                <w:szCs w:val="18"/>
                <w:lang w:eastAsia="pt-BR"/>
              </w:rPr>
            </w:pPr>
            <w:r>
              <w:rPr>
                <w:rFonts w:ascii="Arial" w:eastAsia="Batang" w:hAnsi="Arial" w:cs="Arial"/>
                <w:b/>
                <w:bCs/>
                <w:color w:val="000000"/>
                <w:kern w:val="0"/>
                <w:sz w:val="18"/>
                <w:szCs w:val="18"/>
                <w:lang w:eastAsia="pt-BR"/>
              </w:rPr>
              <w:t>2018</w:t>
            </w:r>
          </w:p>
        </w:tc>
        <w:tc>
          <w:tcPr>
            <w:tcW w:w="1291" w:type="dxa"/>
            <w:tcBorders>
              <w:top w:val="nil"/>
              <w:left w:val="nil"/>
              <w:bottom w:val="single" w:sz="4" w:space="0" w:color="auto"/>
              <w:right w:val="single" w:sz="4" w:space="0" w:color="auto"/>
            </w:tcBorders>
            <w:shd w:val="clear" w:color="auto" w:fill="auto"/>
            <w:noWrap/>
            <w:vAlign w:val="bottom"/>
            <w:hideMark/>
          </w:tcPr>
          <w:p w14:paraId="4031892B" w14:textId="77777777" w:rsidR="00325506" w:rsidRPr="003234C5" w:rsidRDefault="00325506" w:rsidP="004D441C">
            <w:pPr>
              <w:suppressAutoHyphens w:val="0"/>
              <w:spacing w:after="0" w:line="240" w:lineRule="auto"/>
              <w:rPr>
                <w:rFonts w:ascii="Arial" w:eastAsia="Times New Roman" w:hAnsi="Arial" w:cs="Arial"/>
                <w:color w:val="000000"/>
                <w:kern w:val="0"/>
                <w:sz w:val="18"/>
                <w:szCs w:val="18"/>
                <w:lang w:eastAsia="pt-BR"/>
              </w:rPr>
            </w:pPr>
            <w:r w:rsidRPr="003234C5">
              <w:rPr>
                <w:rFonts w:ascii="Arial" w:eastAsia="Batang" w:hAnsi="Arial" w:cs="Arial"/>
                <w:color w:val="000000"/>
                <w:kern w:val="0"/>
                <w:sz w:val="18"/>
                <w:szCs w:val="18"/>
                <w:lang w:eastAsia="pt-BR"/>
              </w:rPr>
              <w:t xml:space="preserve"> Estado Ceará </w:t>
            </w:r>
          </w:p>
        </w:tc>
        <w:tc>
          <w:tcPr>
            <w:tcW w:w="1131" w:type="dxa"/>
            <w:tcBorders>
              <w:top w:val="nil"/>
              <w:left w:val="nil"/>
              <w:bottom w:val="single" w:sz="4" w:space="0" w:color="auto"/>
              <w:right w:val="single" w:sz="4" w:space="0" w:color="auto"/>
            </w:tcBorders>
            <w:shd w:val="clear" w:color="auto" w:fill="auto"/>
            <w:noWrap/>
            <w:vAlign w:val="bottom"/>
            <w:hideMark/>
          </w:tcPr>
          <w:p w14:paraId="47680DD6" w14:textId="3C8D6A88"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rPr>
              <w:t>-</w:t>
            </w:r>
          </w:p>
        </w:tc>
        <w:tc>
          <w:tcPr>
            <w:tcW w:w="1411" w:type="dxa"/>
            <w:tcBorders>
              <w:top w:val="nil"/>
              <w:left w:val="nil"/>
              <w:bottom w:val="single" w:sz="4" w:space="0" w:color="auto"/>
              <w:right w:val="single" w:sz="4" w:space="0" w:color="auto"/>
            </w:tcBorders>
            <w:shd w:val="clear" w:color="auto" w:fill="auto"/>
            <w:noWrap/>
            <w:vAlign w:val="bottom"/>
            <w:hideMark/>
          </w:tcPr>
          <w:p w14:paraId="7DE7B510" w14:textId="6C323732"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rPr>
              <w:t>-</w:t>
            </w:r>
          </w:p>
        </w:tc>
        <w:tc>
          <w:tcPr>
            <w:tcW w:w="1149" w:type="dxa"/>
            <w:tcBorders>
              <w:top w:val="nil"/>
              <w:left w:val="nil"/>
              <w:bottom w:val="single" w:sz="4" w:space="0" w:color="auto"/>
              <w:right w:val="single" w:sz="4" w:space="0" w:color="auto"/>
            </w:tcBorders>
            <w:shd w:val="clear" w:color="auto" w:fill="auto"/>
            <w:noWrap/>
            <w:vAlign w:val="bottom"/>
            <w:hideMark/>
          </w:tcPr>
          <w:p w14:paraId="3D1A1D59" w14:textId="094EF3A9"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rPr>
              <w:t>-</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14:paraId="2DE4C6F6" w14:textId="02B650A5"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rPr>
              <w:t>-</w:t>
            </w:r>
          </w:p>
        </w:tc>
        <w:tc>
          <w:tcPr>
            <w:tcW w:w="1046" w:type="dxa"/>
            <w:tcBorders>
              <w:top w:val="single" w:sz="4" w:space="0" w:color="auto"/>
              <w:left w:val="nil"/>
              <w:bottom w:val="single" w:sz="4" w:space="0" w:color="auto"/>
              <w:right w:val="single" w:sz="4" w:space="0" w:color="auto"/>
            </w:tcBorders>
            <w:shd w:val="clear" w:color="auto" w:fill="auto"/>
            <w:noWrap/>
            <w:vAlign w:val="bottom"/>
            <w:hideMark/>
          </w:tcPr>
          <w:p w14:paraId="3CB186DC" w14:textId="6EF030DD"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rPr>
              <w:t>-</w:t>
            </w:r>
          </w:p>
        </w:tc>
        <w:tc>
          <w:tcPr>
            <w:tcW w:w="1080" w:type="dxa"/>
            <w:tcBorders>
              <w:top w:val="single" w:sz="4" w:space="0" w:color="auto"/>
              <w:left w:val="nil"/>
              <w:bottom w:val="single" w:sz="4" w:space="0" w:color="auto"/>
              <w:right w:val="single" w:sz="4" w:space="0" w:color="auto"/>
            </w:tcBorders>
            <w:vAlign w:val="center"/>
          </w:tcPr>
          <w:p w14:paraId="018F884F" w14:textId="0F5A7A2E"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333</w:t>
            </w:r>
          </w:p>
        </w:tc>
      </w:tr>
      <w:tr w:rsidR="00325506" w:rsidRPr="003234C5" w14:paraId="4D2E8A7D" w14:textId="77777777" w:rsidTr="00897C91">
        <w:trPr>
          <w:trHeight w:val="227"/>
        </w:trPr>
        <w:tc>
          <w:tcPr>
            <w:tcW w:w="988" w:type="dxa"/>
            <w:vMerge/>
            <w:tcBorders>
              <w:top w:val="nil"/>
              <w:left w:val="single" w:sz="4" w:space="0" w:color="auto"/>
              <w:bottom w:val="single" w:sz="4" w:space="0" w:color="000000"/>
              <w:right w:val="single" w:sz="4" w:space="0" w:color="auto"/>
            </w:tcBorders>
            <w:vAlign w:val="center"/>
            <w:hideMark/>
          </w:tcPr>
          <w:p w14:paraId="3DAAFB84" w14:textId="77777777" w:rsidR="00325506" w:rsidRPr="003234C5" w:rsidRDefault="00325506" w:rsidP="004D441C">
            <w:pPr>
              <w:suppressAutoHyphens w:val="0"/>
              <w:spacing w:after="0" w:line="240" w:lineRule="auto"/>
              <w:rPr>
                <w:rFonts w:ascii="Arial" w:eastAsia="Times New Roman" w:hAnsi="Arial" w:cs="Arial"/>
                <w:b/>
                <w:bCs/>
                <w:color w:val="000000"/>
                <w:kern w:val="0"/>
                <w:sz w:val="18"/>
                <w:szCs w:val="18"/>
                <w:lang w:eastAsia="pt-BR"/>
              </w:rPr>
            </w:pPr>
          </w:p>
        </w:tc>
        <w:tc>
          <w:tcPr>
            <w:tcW w:w="1291" w:type="dxa"/>
            <w:tcBorders>
              <w:top w:val="nil"/>
              <w:left w:val="nil"/>
              <w:bottom w:val="single" w:sz="4" w:space="0" w:color="auto"/>
              <w:right w:val="single" w:sz="4" w:space="0" w:color="auto"/>
            </w:tcBorders>
            <w:shd w:val="clear" w:color="auto" w:fill="auto"/>
            <w:noWrap/>
            <w:vAlign w:val="bottom"/>
            <w:hideMark/>
          </w:tcPr>
          <w:p w14:paraId="637FD523" w14:textId="77777777" w:rsidR="00325506" w:rsidRPr="003234C5" w:rsidRDefault="00325506" w:rsidP="004D441C">
            <w:pPr>
              <w:suppressAutoHyphens w:val="0"/>
              <w:spacing w:after="0" w:line="240" w:lineRule="auto"/>
              <w:rPr>
                <w:rFonts w:ascii="Arial" w:eastAsia="Times New Roman" w:hAnsi="Arial" w:cs="Arial"/>
                <w:color w:val="000000"/>
                <w:kern w:val="0"/>
                <w:sz w:val="18"/>
                <w:szCs w:val="18"/>
                <w:lang w:eastAsia="pt-BR"/>
              </w:rPr>
            </w:pPr>
            <w:r w:rsidRPr="003234C5">
              <w:rPr>
                <w:rFonts w:ascii="Arial" w:eastAsia="Times New Roman" w:hAnsi="Arial" w:cs="Arial"/>
                <w:color w:val="000000"/>
                <w:kern w:val="0"/>
                <w:sz w:val="18"/>
                <w:szCs w:val="18"/>
                <w:lang w:eastAsia="pt-BR"/>
              </w:rPr>
              <w:t xml:space="preserve"> Petrobras </w:t>
            </w:r>
          </w:p>
        </w:tc>
        <w:tc>
          <w:tcPr>
            <w:tcW w:w="1131" w:type="dxa"/>
            <w:tcBorders>
              <w:top w:val="nil"/>
              <w:left w:val="nil"/>
              <w:bottom w:val="single" w:sz="4" w:space="0" w:color="auto"/>
              <w:right w:val="single" w:sz="4" w:space="0" w:color="auto"/>
            </w:tcBorders>
            <w:shd w:val="clear" w:color="auto" w:fill="auto"/>
            <w:noWrap/>
            <w:vAlign w:val="center"/>
            <w:hideMark/>
          </w:tcPr>
          <w:p w14:paraId="3A2085EB" w14:textId="3B8A51D7"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18.147</w:t>
            </w:r>
          </w:p>
        </w:tc>
        <w:tc>
          <w:tcPr>
            <w:tcW w:w="1411" w:type="dxa"/>
            <w:tcBorders>
              <w:top w:val="nil"/>
              <w:left w:val="nil"/>
              <w:bottom w:val="single" w:sz="4" w:space="0" w:color="auto"/>
              <w:right w:val="single" w:sz="4" w:space="0" w:color="auto"/>
            </w:tcBorders>
            <w:shd w:val="clear" w:color="auto" w:fill="auto"/>
            <w:noWrap/>
            <w:vAlign w:val="center"/>
            <w:hideMark/>
          </w:tcPr>
          <w:p w14:paraId="0CBE58EC" w14:textId="7762FCBF"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12.134</w:t>
            </w:r>
          </w:p>
        </w:tc>
        <w:tc>
          <w:tcPr>
            <w:tcW w:w="1149" w:type="dxa"/>
            <w:tcBorders>
              <w:top w:val="nil"/>
              <w:left w:val="nil"/>
              <w:bottom w:val="single" w:sz="4" w:space="0" w:color="auto"/>
              <w:right w:val="single" w:sz="4" w:space="0" w:color="auto"/>
            </w:tcBorders>
            <w:shd w:val="clear" w:color="auto" w:fill="auto"/>
            <w:noWrap/>
            <w:vAlign w:val="center"/>
            <w:hideMark/>
          </w:tcPr>
          <w:p w14:paraId="7D661352" w14:textId="7B5DF480"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30.504</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50003CD4" w14:textId="7F78D908"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42A7D96" w14:textId="261DFDAD" w:rsidR="00325506" w:rsidRPr="003234C5" w:rsidRDefault="005C0678" w:rsidP="004D441C">
            <w:pPr>
              <w:suppressAutoHyphens w:val="0"/>
              <w:spacing w:after="0" w:line="240" w:lineRule="auto"/>
              <w:jc w:val="right"/>
              <w:rPr>
                <w:rFonts w:ascii="Arial" w:eastAsia="Times New Roman" w:hAnsi="Arial" w:cs="Arial"/>
                <w:kern w:val="0"/>
                <w:sz w:val="18"/>
                <w:szCs w:val="18"/>
                <w:lang w:eastAsia="pt-BR"/>
              </w:rPr>
            </w:pPr>
            <w:r>
              <w:rPr>
                <w:rFonts w:ascii="Arial" w:hAnsi="Arial" w:cs="Arial"/>
                <w:sz w:val="18"/>
                <w:szCs w:val="18"/>
              </w:rPr>
              <w:t>1.110</w:t>
            </w:r>
          </w:p>
        </w:tc>
        <w:tc>
          <w:tcPr>
            <w:tcW w:w="1080" w:type="dxa"/>
            <w:tcBorders>
              <w:top w:val="single" w:sz="4" w:space="0" w:color="auto"/>
              <w:left w:val="nil"/>
              <w:bottom w:val="single" w:sz="4" w:space="0" w:color="auto"/>
              <w:right w:val="single" w:sz="4" w:space="0" w:color="auto"/>
            </w:tcBorders>
            <w:vAlign w:val="center"/>
          </w:tcPr>
          <w:p w14:paraId="5D20C4E6" w14:textId="48605315"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w:t>
            </w:r>
          </w:p>
        </w:tc>
      </w:tr>
      <w:tr w:rsidR="00325506" w:rsidRPr="003234C5" w14:paraId="4E211F77" w14:textId="77777777" w:rsidTr="00897C91">
        <w:trPr>
          <w:trHeight w:val="227"/>
        </w:trPr>
        <w:tc>
          <w:tcPr>
            <w:tcW w:w="988" w:type="dxa"/>
            <w:vMerge/>
            <w:tcBorders>
              <w:top w:val="nil"/>
              <w:left w:val="single" w:sz="4" w:space="0" w:color="auto"/>
              <w:bottom w:val="single" w:sz="4" w:space="0" w:color="000000"/>
              <w:right w:val="single" w:sz="4" w:space="0" w:color="auto"/>
            </w:tcBorders>
            <w:vAlign w:val="center"/>
            <w:hideMark/>
          </w:tcPr>
          <w:p w14:paraId="0D83BC93" w14:textId="77777777" w:rsidR="00325506" w:rsidRPr="003234C5" w:rsidRDefault="00325506" w:rsidP="004D441C">
            <w:pPr>
              <w:suppressAutoHyphens w:val="0"/>
              <w:spacing w:after="0" w:line="240" w:lineRule="auto"/>
              <w:rPr>
                <w:rFonts w:ascii="Arial" w:eastAsia="Times New Roman" w:hAnsi="Arial" w:cs="Arial"/>
                <w:b/>
                <w:bCs/>
                <w:color w:val="000000"/>
                <w:kern w:val="0"/>
                <w:sz w:val="18"/>
                <w:szCs w:val="18"/>
                <w:lang w:eastAsia="pt-BR"/>
              </w:rPr>
            </w:pPr>
          </w:p>
        </w:tc>
        <w:tc>
          <w:tcPr>
            <w:tcW w:w="1291" w:type="dxa"/>
            <w:tcBorders>
              <w:top w:val="nil"/>
              <w:left w:val="nil"/>
              <w:bottom w:val="single" w:sz="4" w:space="0" w:color="auto"/>
              <w:right w:val="single" w:sz="4" w:space="0" w:color="auto"/>
            </w:tcBorders>
            <w:shd w:val="clear" w:color="auto" w:fill="auto"/>
            <w:noWrap/>
            <w:vAlign w:val="bottom"/>
            <w:hideMark/>
          </w:tcPr>
          <w:p w14:paraId="11E5FABE" w14:textId="77777777" w:rsidR="00325506" w:rsidRPr="003234C5" w:rsidRDefault="00325506" w:rsidP="004D441C">
            <w:pPr>
              <w:suppressAutoHyphens w:val="0"/>
              <w:spacing w:after="0" w:line="240" w:lineRule="auto"/>
              <w:rPr>
                <w:rFonts w:ascii="Arial" w:eastAsia="Times New Roman" w:hAnsi="Arial" w:cs="Arial"/>
                <w:color w:val="000000"/>
                <w:kern w:val="0"/>
                <w:sz w:val="18"/>
                <w:szCs w:val="18"/>
                <w:lang w:eastAsia="pt-BR"/>
              </w:rPr>
            </w:pPr>
            <w:r w:rsidRPr="003234C5">
              <w:rPr>
                <w:rFonts w:ascii="Arial" w:eastAsia="Times New Roman" w:hAnsi="Arial" w:cs="Arial"/>
                <w:color w:val="000000"/>
                <w:kern w:val="0"/>
                <w:sz w:val="18"/>
                <w:szCs w:val="18"/>
                <w:lang w:eastAsia="pt-BR"/>
              </w:rPr>
              <w:t xml:space="preserve"> </w:t>
            </w:r>
            <w:proofErr w:type="spellStart"/>
            <w:r w:rsidRPr="003234C5">
              <w:rPr>
                <w:rFonts w:ascii="Arial" w:eastAsia="Times New Roman" w:hAnsi="Arial" w:cs="Arial"/>
                <w:color w:val="000000"/>
                <w:kern w:val="0"/>
                <w:sz w:val="18"/>
                <w:szCs w:val="18"/>
                <w:lang w:eastAsia="pt-BR"/>
              </w:rPr>
              <w:t>Gaspetro</w:t>
            </w:r>
            <w:proofErr w:type="spellEnd"/>
            <w:r w:rsidRPr="003234C5">
              <w:rPr>
                <w:rFonts w:ascii="Arial" w:eastAsia="Times New Roman" w:hAnsi="Arial" w:cs="Arial"/>
                <w:color w:val="000000"/>
                <w:kern w:val="0"/>
                <w:sz w:val="18"/>
                <w:szCs w:val="18"/>
                <w:lang w:eastAsia="pt-BR"/>
              </w:rPr>
              <w:t xml:space="preserve"> </w:t>
            </w:r>
          </w:p>
        </w:tc>
        <w:tc>
          <w:tcPr>
            <w:tcW w:w="1131" w:type="dxa"/>
            <w:tcBorders>
              <w:top w:val="nil"/>
              <w:left w:val="nil"/>
              <w:bottom w:val="single" w:sz="4" w:space="0" w:color="auto"/>
              <w:right w:val="single" w:sz="4" w:space="0" w:color="auto"/>
            </w:tcBorders>
            <w:shd w:val="clear" w:color="auto" w:fill="auto"/>
            <w:noWrap/>
            <w:vAlign w:val="center"/>
            <w:hideMark/>
          </w:tcPr>
          <w:p w14:paraId="3ED10C5C" w14:textId="2B691585"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1411" w:type="dxa"/>
            <w:tcBorders>
              <w:top w:val="nil"/>
              <w:left w:val="nil"/>
              <w:bottom w:val="single" w:sz="4" w:space="0" w:color="auto"/>
              <w:right w:val="single" w:sz="4" w:space="0" w:color="auto"/>
            </w:tcBorders>
            <w:shd w:val="clear" w:color="auto" w:fill="auto"/>
            <w:noWrap/>
            <w:vAlign w:val="center"/>
            <w:hideMark/>
          </w:tcPr>
          <w:p w14:paraId="74D40E3E" w14:textId="278022C9"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1149" w:type="dxa"/>
            <w:tcBorders>
              <w:top w:val="nil"/>
              <w:left w:val="nil"/>
              <w:bottom w:val="single" w:sz="4" w:space="0" w:color="auto"/>
              <w:right w:val="single" w:sz="4" w:space="0" w:color="auto"/>
            </w:tcBorders>
            <w:shd w:val="clear" w:color="auto" w:fill="auto"/>
            <w:noWrap/>
            <w:vAlign w:val="center"/>
            <w:hideMark/>
          </w:tcPr>
          <w:p w14:paraId="06336526" w14:textId="511B83F6"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7CBC29C2" w14:textId="19908E11"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21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99AF834" w14:textId="702B7BAA"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1080" w:type="dxa"/>
            <w:tcBorders>
              <w:top w:val="single" w:sz="4" w:space="0" w:color="auto"/>
              <w:left w:val="nil"/>
              <w:bottom w:val="single" w:sz="4" w:space="0" w:color="auto"/>
              <w:right w:val="single" w:sz="4" w:space="0" w:color="auto"/>
            </w:tcBorders>
            <w:vAlign w:val="center"/>
          </w:tcPr>
          <w:p w14:paraId="2930BF21" w14:textId="1EA13C4A"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2.672</w:t>
            </w:r>
          </w:p>
        </w:tc>
      </w:tr>
      <w:tr w:rsidR="00325506" w:rsidRPr="003234C5" w14:paraId="6F9F97A3" w14:textId="77777777" w:rsidTr="00897C91">
        <w:trPr>
          <w:trHeight w:val="227"/>
        </w:trPr>
        <w:tc>
          <w:tcPr>
            <w:tcW w:w="988" w:type="dxa"/>
            <w:vMerge/>
            <w:tcBorders>
              <w:top w:val="nil"/>
              <w:left w:val="single" w:sz="4" w:space="0" w:color="auto"/>
              <w:bottom w:val="single" w:sz="4" w:space="0" w:color="000000"/>
              <w:right w:val="single" w:sz="4" w:space="0" w:color="auto"/>
            </w:tcBorders>
            <w:vAlign w:val="center"/>
            <w:hideMark/>
          </w:tcPr>
          <w:p w14:paraId="67C10732" w14:textId="77777777" w:rsidR="00325506" w:rsidRPr="003234C5" w:rsidRDefault="00325506" w:rsidP="004D441C">
            <w:pPr>
              <w:suppressAutoHyphens w:val="0"/>
              <w:spacing w:after="0" w:line="240" w:lineRule="auto"/>
              <w:rPr>
                <w:rFonts w:ascii="Arial" w:eastAsia="Times New Roman" w:hAnsi="Arial" w:cs="Arial"/>
                <w:b/>
                <w:bCs/>
                <w:color w:val="000000"/>
                <w:kern w:val="0"/>
                <w:sz w:val="18"/>
                <w:szCs w:val="18"/>
                <w:lang w:eastAsia="pt-BR"/>
              </w:rPr>
            </w:pPr>
          </w:p>
        </w:tc>
        <w:tc>
          <w:tcPr>
            <w:tcW w:w="1291" w:type="dxa"/>
            <w:tcBorders>
              <w:top w:val="nil"/>
              <w:left w:val="nil"/>
              <w:bottom w:val="single" w:sz="4" w:space="0" w:color="auto"/>
              <w:right w:val="single" w:sz="4" w:space="0" w:color="auto"/>
            </w:tcBorders>
            <w:shd w:val="clear" w:color="auto" w:fill="auto"/>
            <w:noWrap/>
            <w:vAlign w:val="bottom"/>
            <w:hideMark/>
          </w:tcPr>
          <w:p w14:paraId="733E09BD" w14:textId="77777777" w:rsidR="00325506" w:rsidRPr="003234C5" w:rsidRDefault="00325506" w:rsidP="004D441C">
            <w:pPr>
              <w:suppressAutoHyphens w:val="0"/>
              <w:spacing w:after="0" w:line="240" w:lineRule="auto"/>
              <w:rPr>
                <w:rFonts w:ascii="Arial" w:eastAsia="Times New Roman" w:hAnsi="Arial" w:cs="Arial"/>
                <w:color w:val="000000"/>
                <w:kern w:val="0"/>
                <w:sz w:val="18"/>
                <w:szCs w:val="18"/>
                <w:lang w:eastAsia="pt-BR"/>
              </w:rPr>
            </w:pPr>
            <w:r w:rsidRPr="003234C5">
              <w:rPr>
                <w:rFonts w:ascii="Arial" w:eastAsia="Batang" w:hAnsi="Arial" w:cs="Arial"/>
                <w:color w:val="000000"/>
                <w:kern w:val="0"/>
                <w:sz w:val="18"/>
                <w:szCs w:val="18"/>
                <w:lang w:eastAsia="pt-BR"/>
              </w:rPr>
              <w:t xml:space="preserve"> BR Distribuidora </w:t>
            </w:r>
          </w:p>
        </w:tc>
        <w:tc>
          <w:tcPr>
            <w:tcW w:w="1131" w:type="dxa"/>
            <w:tcBorders>
              <w:top w:val="nil"/>
              <w:left w:val="nil"/>
              <w:bottom w:val="single" w:sz="4" w:space="0" w:color="auto"/>
              <w:right w:val="single" w:sz="4" w:space="0" w:color="auto"/>
            </w:tcBorders>
            <w:shd w:val="clear" w:color="auto" w:fill="auto"/>
            <w:noWrap/>
            <w:vAlign w:val="center"/>
            <w:hideMark/>
          </w:tcPr>
          <w:p w14:paraId="2E088C2D" w14:textId="574E1A2F"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1411" w:type="dxa"/>
            <w:tcBorders>
              <w:top w:val="nil"/>
              <w:left w:val="nil"/>
              <w:bottom w:val="single" w:sz="4" w:space="0" w:color="auto"/>
              <w:right w:val="single" w:sz="4" w:space="0" w:color="auto"/>
            </w:tcBorders>
            <w:shd w:val="clear" w:color="auto" w:fill="auto"/>
            <w:noWrap/>
            <w:vAlign w:val="center"/>
            <w:hideMark/>
          </w:tcPr>
          <w:p w14:paraId="18F65F36" w14:textId="0294EBDD"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1149" w:type="dxa"/>
            <w:tcBorders>
              <w:top w:val="nil"/>
              <w:left w:val="nil"/>
              <w:bottom w:val="single" w:sz="4" w:space="0" w:color="auto"/>
              <w:right w:val="single" w:sz="4" w:space="0" w:color="auto"/>
            </w:tcBorders>
            <w:shd w:val="clear" w:color="auto" w:fill="auto"/>
            <w:noWrap/>
            <w:vAlign w:val="center"/>
            <w:hideMark/>
          </w:tcPr>
          <w:p w14:paraId="3EAF4B52" w14:textId="137D2ED2"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65E9652C" w14:textId="1571CFE0"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5DB47C3" w14:textId="26A47379"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15.334</w:t>
            </w:r>
          </w:p>
        </w:tc>
        <w:tc>
          <w:tcPr>
            <w:tcW w:w="1080" w:type="dxa"/>
            <w:tcBorders>
              <w:top w:val="single" w:sz="4" w:space="0" w:color="auto"/>
              <w:left w:val="nil"/>
              <w:bottom w:val="single" w:sz="4" w:space="0" w:color="auto"/>
              <w:right w:val="single" w:sz="4" w:space="0" w:color="auto"/>
            </w:tcBorders>
            <w:vAlign w:val="center"/>
          </w:tcPr>
          <w:p w14:paraId="085CEA92" w14:textId="17E289C1"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r>
      <w:tr w:rsidR="00325506" w:rsidRPr="003234C5" w14:paraId="024C4514" w14:textId="77777777" w:rsidTr="00897C91">
        <w:trPr>
          <w:trHeight w:val="227"/>
        </w:trPr>
        <w:tc>
          <w:tcPr>
            <w:tcW w:w="988" w:type="dxa"/>
            <w:vMerge/>
            <w:tcBorders>
              <w:top w:val="nil"/>
              <w:left w:val="single" w:sz="4" w:space="0" w:color="auto"/>
              <w:bottom w:val="single" w:sz="4" w:space="0" w:color="000000"/>
              <w:right w:val="single" w:sz="4" w:space="0" w:color="auto"/>
            </w:tcBorders>
            <w:vAlign w:val="center"/>
            <w:hideMark/>
          </w:tcPr>
          <w:p w14:paraId="588935AF" w14:textId="77777777" w:rsidR="00325506" w:rsidRPr="003234C5" w:rsidRDefault="00325506" w:rsidP="004D441C">
            <w:pPr>
              <w:suppressAutoHyphens w:val="0"/>
              <w:spacing w:after="0" w:line="240" w:lineRule="auto"/>
              <w:rPr>
                <w:rFonts w:ascii="Arial" w:eastAsia="Times New Roman" w:hAnsi="Arial" w:cs="Arial"/>
                <w:b/>
                <w:bCs/>
                <w:color w:val="000000"/>
                <w:kern w:val="0"/>
                <w:sz w:val="18"/>
                <w:szCs w:val="18"/>
                <w:lang w:eastAsia="pt-BR"/>
              </w:rPr>
            </w:pPr>
          </w:p>
        </w:tc>
        <w:tc>
          <w:tcPr>
            <w:tcW w:w="1291" w:type="dxa"/>
            <w:tcBorders>
              <w:top w:val="nil"/>
              <w:left w:val="nil"/>
              <w:bottom w:val="single" w:sz="4" w:space="0" w:color="auto"/>
              <w:right w:val="single" w:sz="4" w:space="0" w:color="auto"/>
            </w:tcBorders>
            <w:shd w:val="clear" w:color="auto" w:fill="auto"/>
            <w:noWrap/>
            <w:vAlign w:val="bottom"/>
            <w:hideMark/>
          </w:tcPr>
          <w:p w14:paraId="22DD62F4" w14:textId="77777777" w:rsidR="00325506" w:rsidRPr="003234C5" w:rsidRDefault="00325506" w:rsidP="004D441C">
            <w:pPr>
              <w:suppressAutoHyphens w:val="0"/>
              <w:spacing w:after="0" w:line="240" w:lineRule="auto"/>
              <w:rPr>
                <w:rFonts w:ascii="Arial" w:eastAsia="Times New Roman" w:hAnsi="Arial" w:cs="Arial"/>
                <w:color w:val="000000"/>
                <w:kern w:val="0"/>
                <w:sz w:val="18"/>
                <w:szCs w:val="18"/>
                <w:lang w:eastAsia="pt-BR"/>
              </w:rPr>
            </w:pPr>
            <w:r w:rsidRPr="003234C5">
              <w:rPr>
                <w:rFonts w:ascii="Arial" w:eastAsia="Batang" w:hAnsi="Arial" w:cs="Arial"/>
                <w:color w:val="000000"/>
                <w:kern w:val="0"/>
                <w:sz w:val="18"/>
                <w:szCs w:val="18"/>
                <w:lang w:eastAsia="pt-BR"/>
              </w:rPr>
              <w:t xml:space="preserve"> Mitsui </w:t>
            </w:r>
          </w:p>
        </w:tc>
        <w:tc>
          <w:tcPr>
            <w:tcW w:w="1131" w:type="dxa"/>
            <w:tcBorders>
              <w:top w:val="nil"/>
              <w:left w:val="nil"/>
              <w:bottom w:val="single" w:sz="4" w:space="0" w:color="auto"/>
              <w:right w:val="single" w:sz="4" w:space="0" w:color="auto"/>
            </w:tcBorders>
            <w:shd w:val="clear" w:color="auto" w:fill="auto"/>
            <w:noWrap/>
            <w:vAlign w:val="center"/>
            <w:hideMark/>
          </w:tcPr>
          <w:p w14:paraId="2229DF18" w14:textId="60CFE4A4"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1411" w:type="dxa"/>
            <w:tcBorders>
              <w:top w:val="nil"/>
              <w:left w:val="nil"/>
              <w:bottom w:val="single" w:sz="4" w:space="0" w:color="auto"/>
              <w:right w:val="single" w:sz="4" w:space="0" w:color="auto"/>
            </w:tcBorders>
            <w:shd w:val="clear" w:color="auto" w:fill="auto"/>
            <w:noWrap/>
            <w:vAlign w:val="center"/>
            <w:hideMark/>
          </w:tcPr>
          <w:p w14:paraId="3B6054E4" w14:textId="254B3FAD"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1149" w:type="dxa"/>
            <w:tcBorders>
              <w:top w:val="nil"/>
              <w:left w:val="nil"/>
              <w:bottom w:val="single" w:sz="4" w:space="0" w:color="auto"/>
              <w:right w:val="single" w:sz="4" w:space="0" w:color="auto"/>
            </w:tcBorders>
            <w:shd w:val="clear" w:color="auto" w:fill="auto"/>
            <w:noWrap/>
            <w:vAlign w:val="center"/>
            <w:hideMark/>
          </w:tcPr>
          <w:p w14:paraId="79A57901" w14:textId="0DD1724A"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5C2014D2" w14:textId="033500A6"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22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5CBA710" w14:textId="32D85EF8"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eastAsia="Times New Roman" w:hAnsi="Arial" w:cs="Arial"/>
                <w:kern w:val="0"/>
                <w:sz w:val="18"/>
                <w:szCs w:val="18"/>
                <w:lang w:eastAsia="pt-BR"/>
              </w:rPr>
              <w:t>-</w:t>
            </w:r>
          </w:p>
        </w:tc>
        <w:tc>
          <w:tcPr>
            <w:tcW w:w="1080" w:type="dxa"/>
            <w:tcBorders>
              <w:top w:val="single" w:sz="4" w:space="0" w:color="auto"/>
              <w:left w:val="nil"/>
              <w:bottom w:val="single" w:sz="4" w:space="0" w:color="auto"/>
              <w:right w:val="single" w:sz="4" w:space="0" w:color="auto"/>
            </w:tcBorders>
            <w:vAlign w:val="center"/>
          </w:tcPr>
          <w:p w14:paraId="00D4E470" w14:textId="30415399" w:rsidR="00325506" w:rsidRPr="003234C5" w:rsidRDefault="00325506" w:rsidP="004D441C">
            <w:pPr>
              <w:suppressAutoHyphens w:val="0"/>
              <w:spacing w:after="0" w:line="240" w:lineRule="auto"/>
              <w:jc w:val="right"/>
              <w:rPr>
                <w:rFonts w:ascii="Arial" w:eastAsia="Times New Roman" w:hAnsi="Arial" w:cs="Arial"/>
                <w:kern w:val="0"/>
                <w:sz w:val="18"/>
                <w:szCs w:val="18"/>
                <w:lang w:eastAsia="pt-BR"/>
              </w:rPr>
            </w:pPr>
            <w:r w:rsidRPr="003234C5">
              <w:rPr>
                <w:rFonts w:ascii="Arial" w:hAnsi="Arial" w:cs="Arial"/>
                <w:sz w:val="18"/>
                <w:szCs w:val="18"/>
              </w:rPr>
              <w:t>2.672</w:t>
            </w:r>
          </w:p>
        </w:tc>
      </w:tr>
    </w:tbl>
    <w:p w14:paraId="5F110E15" w14:textId="01E09BF6" w:rsidR="00423CE4" w:rsidRPr="003234C5" w:rsidRDefault="00423CE4" w:rsidP="00662E91">
      <w:pPr>
        <w:jc w:val="both"/>
        <w:rPr>
          <w:rFonts w:ascii="Arial" w:hAnsi="Arial" w:cs="Arial"/>
          <w:sz w:val="24"/>
          <w:szCs w:val="24"/>
        </w:rPr>
      </w:pPr>
    </w:p>
    <w:p w14:paraId="11C38C54" w14:textId="77777777" w:rsidR="00662E91" w:rsidRPr="003234C5" w:rsidRDefault="00662E91" w:rsidP="00662E91">
      <w:pPr>
        <w:autoSpaceDE w:val="0"/>
        <w:autoSpaceDN w:val="0"/>
        <w:jc w:val="both"/>
        <w:rPr>
          <w:rFonts w:ascii="Arial" w:hAnsi="Arial" w:cs="Arial"/>
        </w:rPr>
      </w:pPr>
      <w:r w:rsidRPr="003234C5">
        <w:rPr>
          <w:rFonts w:ascii="Arial" w:hAnsi="Arial" w:cs="Arial"/>
        </w:rPr>
        <w:t>(1) Informação líquida de impostos</w:t>
      </w:r>
    </w:p>
    <w:p w14:paraId="5D61F940" w14:textId="55488104" w:rsidR="00D33D59" w:rsidRPr="003234C5" w:rsidRDefault="006C1B77" w:rsidP="00014E98">
      <w:pPr>
        <w:autoSpaceDE w:val="0"/>
        <w:autoSpaceDN w:val="0"/>
        <w:adjustRightInd w:val="0"/>
        <w:jc w:val="both"/>
        <w:rPr>
          <w:rFonts w:ascii="Arial" w:hAnsi="Arial" w:cs="Arial"/>
        </w:rPr>
      </w:pPr>
      <w:r w:rsidRPr="00AA49E3">
        <w:rPr>
          <w:rFonts w:ascii="Arial" w:hAnsi="Arial" w:cs="Arial"/>
        </w:rPr>
        <w:t xml:space="preserve">Os valores de R$ </w:t>
      </w:r>
      <w:r w:rsidR="00DE494A" w:rsidRPr="00AA49E3">
        <w:rPr>
          <w:rFonts w:ascii="Arial" w:hAnsi="Arial" w:cs="Arial"/>
        </w:rPr>
        <w:t>75</w:t>
      </w:r>
      <w:r w:rsidRPr="00AA49E3">
        <w:rPr>
          <w:rFonts w:ascii="Arial" w:hAnsi="Arial" w:cs="Arial"/>
        </w:rPr>
        <w:t xml:space="preserve"> e </w:t>
      </w:r>
      <w:r w:rsidR="00957D36" w:rsidRPr="00AA49E3">
        <w:rPr>
          <w:rFonts w:ascii="Arial" w:hAnsi="Arial" w:cs="Arial"/>
        </w:rPr>
        <w:t xml:space="preserve">de </w:t>
      </w:r>
      <w:r w:rsidRPr="00AA49E3">
        <w:rPr>
          <w:rFonts w:ascii="Arial" w:hAnsi="Arial" w:cs="Arial"/>
        </w:rPr>
        <w:t xml:space="preserve">R$ </w:t>
      </w:r>
      <w:r w:rsidR="00DE494A" w:rsidRPr="00AA49E3">
        <w:rPr>
          <w:rFonts w:ascii="Arial" w:hAnsi="Arial" w:cs="Arial"/>
        </w:rPr>
        <w:t>21</w:t>
      </w:r>
      <w:r w:rsidRPr="00AA49E3">
        <w:rPr>
          <w:rFonts w:ascii="Arial" w:hAnsi="Arial" w:cs="Arial"/>
        </w:rPr>
        <w:t xml:space="preserve"> registrados em Contas a pagar a parte relacionadas referem-se ao</w:t>
      </w:r>
      <w:r w:rsidR="00200682" w:rsidRPr="00AA49E3">
        <w:rPr>
          <w:rFonts w:ascii="Arial" w:hAnsi="Arial" w:cs="Arial"/>
        </w:rPr>
        <w:t xml:space="preserve"> reembolso da remuneração do diretor </w:t>
      </w:r>
      <w:r w:rsidRPr="00AA49E3">
        <w:rPr>
          <w:rFonts w:ascii="Arial" w:hAnsi="Arial" w:cs="Arial"/>
        </w:rPr>
        <w:t xml:space="preserve">administrativo e financeiro e diretor técnico e comercial </w:t>
      </w:r>
      <w:r w:rsidR="00200682" w:rsidRPr="00AA49E3">
        <w:rPr>
          <w:rFonts w:ascii="Arial" w:hAnsi="Arial" w:cs="Arial"/>
        </w:rPr>
        <w:t xml:space="preserve">para </w:t>
      </w:r>
      <w:r w:rsidR="0002273A" w:rsidRPr="00AA49E3">
        <w:rPr>
          <w:rFonts w:ascii="Arial" w:hAnsi="Arial" w:cs="Arial"/>
        </w:rPr>
        <w:t>o</w:t>
      </w:r>
      <w:r w:rsidRPr="00AA49E3">
        <w:rPr>
          <w:rFonts w:ascii="Arial" w:hAnsi="Arial" w:cs="Arial"/>
        </w:rPr>
        <w:t xml:space="preserve">s </w:t>
      </w:r>
      <w:r w:rsidR="00200682" w:rsidRPr="00AA49E3">
        <w:rPr>
          <w:rFonts w:ascii="Arial" w:hAnsi="Arial" w:cs="Arial"/>
        </w:rPr>
        <w:t>acionista</w:t>
      </w:r>
      <w:r w:rsidRPr="00AA49E3">
        <w:rPr>
          <w:rFonts w:ascii="Arial" w:hAnsi="Arial" w:cs="Arial"/>
        </w:rPr>
        <w:t>s</w:t>
      </w:r>
      <w:r w:rsidR="00200682" w:rsidRPr="00AA49E3">
        <w:rPr>
          <w:rFonts w:ascii="Arial" w:hAnsi="Arial" w:cs="Arial"/>
        </w:rPr>
        <w:t xml:space="preserve"> </w:t>
      </w:r>
      <w:r w:rsidR="00396014" w:rsidRPr="00AA49E3">
        <w:rPr>
          <w:rFonts w:ascii="Arial" w:hAnsi="Arial" w:cs="Arial"/>
        </w:rPr>
        <w:t>Mitsui</w:t>
      </w:r>
      <w:r w:rsidR="00C23F57" w:rsidRPr="00AA49E3">
        <w:rPr>
          <w:rFonts w:ascii="Arial" w:hAnsi="Arial" w:cs="Arial"/>
        </w:rPr>
        <w:t xml:space="preserve"> e </w:t>
      </w:r>
      <w:proofErr w:type="spellStart"/>
      <w:r w:rsidR="00C23F57" w:rsidRPr="00AA49E3">
        <w:rPr>
          <w:rFonts w:ascii="Arial" w:hAnsi="Arial" w:cs="Arial"/>
        </w:rPr>
        <w:t>Gaspetro</w:t>
      </w:r>
      <w:proofErr w:type="spellEnd"/>
      <w:r w:rsidR="00200682" w:rsidRPr="00AA49E3">
        <w:rPr>
          <w:rFonts w:ascii="Arial" w:hAnsi="Arial" w:cs="Arial"/>
        </w:rPr>
        <w:t>.</w:t>
      </w:r>
      <w:r w:rsidR="00200682" w:rsidRPr="003234C5">
        <w:rPr>
          <w:rFonts w:ascii="Arial" w:hAnsi="Arial" w:cs="Arial"/>
        </w:rPr>
        <w:t xml:space="preserve"> </w:t>
      </w:r>
    </w:p>
    <w:p w14:paraId="59C9184D" w14:textId="77777777" w:rsidR="0012214D" w:rsidRDefault="0012214D" w:rsidP="00200682">
      <w:pPr>
        <w:widowControl w:val="0"/>
        <w:jc w:val="both"/>
        <w:rPr>
          <w:rFonts w:ascii="Arial" w:hAnsi="Arial" w:cs="Arial"/>
          <w:b/>
        </w:rPr>
      </w:pPr>
    </w:p>
    <w:p w14:paraId="7F651FB4" w14:textId="1326FD1E" w:rsidR="00200682" w:rsidRPr="003234C5" w:rsidRDefault="00200682" w:rsidP="00200682">
      <w:pPr>
        <w:widowControl w:val="0"/>
        <w:jc w:val="both"/>
        <w:rPr>
          <w:rFonts w:ascii="Arial" w:hAnsi="Arial" w:cs="Arial"/>
          <w:b/>
        </w:rPr>
      </w:pPr>
      <w:r w:rsidRPr="003234C5">
        <w:rPr>
          <w:rFonts w:ascii="Arial" w:hAnsi="Arial" w:cs="Arial"/>
          <w:b/>
        </w:rPr>
        <w:t>NOTA 3</w:t>
      </w:r>
      <w:r w:rsidR="00E85E5C">
        <w:rPr>
          <w:rFonts w:ascii="Arial" w:hAnsi="Arial" w:cs="Arial"/>
          <w:b/>
        </w:rPr>
        <w:t>7</w:t>
      </w:r>
      <w:r w:rsidRPr="003234C5">
        <w:rPr>
          <w:rFonts w:ascii="Arial" w:hAnsi="Arial" w:cs="Arial"/>
          <w:b/>
        </w:rPr>
        <w:t>. COBERTURA DE SEGUROS</w:t>
      </w:r>
    </w:p>
    <w:p w14:paraId="12A89E36" w14:textId="4D107211" w:rsidR="00B62B5A" w:rsidRPr="003234C5" w:rsidRDefault="00200682" w:rsidP="00200682">
      <w:pPr>
        <w:widowControl w:val="0"/>
        <w:autoSpaceDE w:val="0"/>
        <w:autoSpaceDN w:val="0"/>
        <w:adjustRightInd w:val="0"/>
        <w:jc w:val="both"/>
        <w:rPr>
          <w:rFonts w:ascii="Arial" w:hAnsi="Arial" w:cs="Arial"/>
        </w:rPr>
      </w:pPr>
      <w:r w:rsidRPr="003234C5">
        <w:rPr>
          <w:rFonts w:ascii="Arial" w:hAnsi="Arial" w:cs="Arial"/>
        </w:rPr>
        <w:t>Em 3</w:t>
      </w:r>
      <w:r w:rsidR="0033556E">
        <w:rPr>
          <w:rFonts w:ascii="Arial" w:hAnsi="Arial" w:cs="Arial"/>
        </w:rPr>
        <w:t>1</w:t>
      </w:r>
      <w:r w:rsidR="003D4C83" w:rsidRPr="003234C5">
        <w:rPr>
          <w:rFonts w:ascii="Arial" w:hAnsi="Arial" w:cs="Arial"/>
        </w:rPr>
        <w:t xml:space="preserve"> de </w:t>
      </w:r>
      <w:r w:rsidR="0033556E">
        <w:rPr>
          <w:rFonts w:ascii="Arial" w:hAnsi="Arial" w:cs="Arial"/>
        </w:rPr>
        <w:t>dezembro</w:t>
      </w:r>
      <w:r w:rsidRPr="003234C5">
        <w:rPr>
          <w:rFonts w:ascii="Arial" w:hAnsi="Arial" w:cs="Arial"/>
        </w:rPr>
        <w:t xml:space="preserve"> de 201</w:t>
      </w:r>
      <w:r w:rsidR="00A7198C" w:rsidRPr="003234C5">
        <w:rPr>
          <w:rFonts w:ascii="Arial" w:hAnsi="Arial" w:cs="Arial"/>
        </w:rPr>
        <w:t>9</w:t>
      </w:r>
      <w:r w:rsidRPr="003234C5">
        <w:rPr>
          <w:rFonts w:ascii="Arial" w:hAnsi="Arial" w:cs="Arial"/>
        </w:rPr>
        <w:t xml:space="preserve"> e</w:t>
      </w:r>
      <w:r w:rsidR="00A7198C" w:rsidRPr="003234C5">
        <w:rPr>
          <w:rFonts w:ascii="Arial" w:hAnsi="Arial" w:cs="Arial"/>
        </w:rPr>
        <w:t xml:space="preserve"> 2018</w:t>
      </w:r>
      <w:r w:rsidRPr="003234C5">
        <w:rPr>
          <w:rFonts w:ascii="Arial" w:hAnsi="Arial" w:cs="Arial"/>
        </w:rPr>
        <w:t xml:space="preserve">, a Companhia possuía cobertura de seguros contra incêndio e riscos diversos para os bens que compõem o ativo da concessão, por valores considerados pela </w:t>
      </w:r>
      <w:r w:rsidR="00B3256F" w:rsidRPr="003234C5">
        <w:rPr>
          <w:rFonts w:ascii="Arial" w:hAnsi="Arial" w:cs="Arial"/>
        </w:rPr>
        <w:t xml:space="preserve">Companhia </w:t>
      </w:r>
      <w:r w:rsidRPr="003234C5">
        <w:rPr>
          <w:rFonts w:ascii="Arial" w:hAnsi="Arial" w:cs="Arial"/>
        </w:rPr>
        <w:t>suficientes para cobrir eventuais perdas</w:t>
      </w:r>
      <w:r w:rsidR="00BC0F95" w:rsidRPr="003234C5">
        <w:rPr>
          <w:rFonts w:ascii="Arial" w:hAnsi="Arial" w:cs="Arial"/>
        </w:rPr>
        <w:t>.</w:t>
      </w:r>
    </w:p>
    <w:p w14:paraId="657E47E8" w14:textId="04CE911C" w:rsidR="00200682" w:rsidRPr="003234C5" w:rsidRDefault="00BC0F95" w:rsidP="00200682">
      <w:pPr>
        <w:widowControl w:val="0"/>
        <w:autoSpaceDE w:val="0"/>
        <w:autoSpaceDN w:val="0"/>
        <w:adjustRightInd w:val="0"/>
        <w:jc w:val="both"/>
        <w:rPr>
          <w:rFonts w:ascii="Arial" w:hAnsi="Arial" w:cs="Arial"/>
        </w:rPr>
      </w:pPr>
      <w:r w:rsidRPr="003234C5">
        <w:rPr>
          <w:rFonts w:ascii="Arial" w:hAnsi="Arial" w:cs="Arial"/>
        </w:rPr>
        <w:t xml:space="preserve">Os valores correspondentes </w:t>
      </w:r>
      <w:r w:rsidR="00A228B6" w:rsidRPr="003234C5">
        <w:rPr>
          <w:rFonts w:ascii="Arial" w:hAnsi="Arial" w:cs="Arial"/>
        </w:rPr>
        <w:t xml:space="preserve">à </w:t>
      </w:r>
      <w:r w:rsidR="0031727F" w:rsidRPr="003234C5">
        <w:rPr>
          <w:rFonts w:ascii="Arial" w:hAnsi="Arial" w:cs="Arial"/>
        </w:rPr>
        <w:t>garantia de cobertura</w:t>
      </w:r>
      <w:r w:rsidRPr="003234C5">
        <w:rPr>
          <w:rFonts w:ascii="Arial" w:hAnsi="Arial" w:cs="Arial"/>
        </w:rPr>
        <w:t xml:space="preserve"> de </w:t>
      </w:r>
      <w:r w:rsidR="0031727F" w:rsidRPr="003234C5">
        <w:rPr>
          <w:rFonts w:ascii="Arial" w:hAnsi="Arial" w:cs="Arial"/>
        </w:rPr>
        <w:t>eventuais sinistros estão evidenciados na tabela:</w:t>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533"/>
        <w:gridCol w:w="1860"/>
        <w:gridCol w:w="1683"/>
      </w:tblGrid>
      <w:tr w:rsidR="00A7198C" w:rsidRPr="003234C5" w14:paraId="05564D55" w14:textId="77777777" w:rsidTr="004D54FC">
        <w:trPr>
          <w:trHeight w:val="170"/>
          <w:jc w:val="center"/>
        </w:trPr>
        <w:tc>
          <w:tcPr>
            <w:tcW w:w="5533" w:type="dxa"/>
            <w:shd w:val="clear" w:color="auto" w:fill="BFBFBF" w:themeFill="background1" w:themeFillShade="BF"/>
            <w:vAlign w:val="center"/>
          </w:tcPr>
          <w:p w14:paraId="6626E055" w14:textId="77777777" w:rsidR="00A7198C" w:rsidRPr="003234C5" w:rsidRDefault="00A7198C" w:rsidP="00A7198C">
            <w:pPr>
              <w:autoSpaceDE w:val="0"/>
              <w:autoSpaceDN w:val="0"/>
              <w:adjustRightInd w:val="0"/>
              <w:spacing w:after="0"/>
              <w:jc w:val="both"/>
              <w:rPr>
                <w:rFonts w:ascii="Arial" w:hAnsi="Arial" w:cs="Arial"/>
                <w:b/>
                <w:sz w:val="20"/>
                <w:szCs w:val="20"/>
              </w:rPr>
            </w:pPr>
            <w:r w:rsidRPr="003234C5">
              <w:rPr>
                <w:rFonts w:ascii="Arial" w:hAnsi="Arial" w:cs="Arial"/>
                <w:b/>
                <w:sz w:val="20"/>
                <w:szCs w:val="20"/>
              </w:rPr>
              <w:t>DESCRIÇÃO</w:t>
            </w:r>
          </w:p>
        </w:tc>
        <w:tc>
          <w:tcPr>
            <w:tcW w:w="1860" w:type="dxa"/>
            <w:shd w:val="clear" w:color="auto" w:fill="C0C0C0"/>
            <w:vAlign w:val="bottom"/>
          </w:tcPr>
          <w:p w14:paraId="7C791D27" w14:textId="535DC9E5" w:rsidR="00A7198C" w:rsidRPr="003234C5" w:rsidRDefault="00C6257E" w:rsidP="00A7198C">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2019</w:t>
            </w:r>
          </w:p>
        </w:tc>
        <w:tc>
          <w:tcPr>
            <w:tcW w:w="1683" w:type="dxa"/>
            <w:shd w:val="clear" w:color="auto" w:fill="C0C0C0"/>
            <w:vAlign w:val="bottom"/>
          </w:tcPr>
          <w:p w14:paraId="4D60602C" w14:textId="4C352055" w:rsidR="00A7198C" w:rsidRPr="003234C5" w:rsidRDefault="00C6257E" w:rsidP="00A7198C">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2018</w:t>
            </w:r>
          </w:p>
        </w:tc>
      </w:tr>
      <w:tr w:rsidR="00A7198C" w:rsidRPr="003234C5" w14:paraId="14E686D3" w14:textId="77777777" w:rsidTr="00EA1F5D">
        <w:trPr>
          <w:trHeight w:val="170"/>
          <w:jc w:val="center"/>
        </w:trPr>
        <w:tc>
          <w:tcPr>
            <w:tcW w:w="5533" w:type="dxa"/>
            <w:shd w:val="clear" w:color="auto" w:fill="FFFFFF"/>
            <w:vAlign w:val="bottom"/>
          </w:tcPr>
          <w:p w14:paraId="5AE16515" w14:textId="03B4FE75" w:rsidR="00A7198C" w:rsidRPr="003234C5" w:rsidRDefault="00A7198C" w:rsidP="00A7198C">
            <w:pPr>
              <w:spacing w:after="0"/>
              <w:jc w:val="both"/>
              <w:rPr>
                <w:rFonts w:ascii="Arial" w:hAnsi="Arial" w:cs="Arial"/>
                <w:bCs/>
                <w:sz w:val="20"/>
                <w:szCs w:val="20"/>
              </w:rPr>
            </w:pPr>
            <w:r w:rsidRPr="003234C5">
              <w:rPr>
                <w:rFonts w:ascii="Arial" w:hAnsi="Arial" w:cs="Arial"/>
                <w:bCs/>
                <w:sz w:val="20"/>
                <w:szCs w:val="20"/>
              </w:rPr>
              <w:t xml:space="preserve">Responsabilidade Civil </w:t>
            </w:r>
          </w:p>
        </w:tc>
        <w:tc>
          <w:tcPr>
            <w:tcW w:w="1860" w:type="dxa"/>
            <w:shd w:val="clear" w:color="auto" w:fill="FFFFFF"/>
            <w:vAlign w:val="center"/>
          </w:tcPr>
          <w:p w14:paraId="13EFC11B" w14:textId="349EC090" w:rsidR="00A7198C" w:rsidRPr="00146BDF" w:rsidRDefault="005C0E98" w:rsidP="00A7198C">
            <w:pPr>
              <w:spacing w:after="0"/>
              <w:jc w:val="right"/>
              <w:rPr>
                <w:rFonts w:ascii="Arial" w:hAnsi="Arial" w:cs="Arial"/>
                <w:bCs/>
                <w:sz w:val="20"/>
                <w:szCs w:val="20"/>
              </w:rPr>
            </w:pPr>
            <w:r w:rsidRPr="00146BDF">
              <w:rPr>
                <w:rFonts w:ascii="Arial" w:hAnsi="Arial" w:cs="Arial"/>
                <w:bCs/>
                <w:sz w:val="20"/>
                <w:szCs w:val="20"/>
              </w:rPr>
              <w:t>20.000</w:t>
            </w:r>
          </w:p>
        </w:tc>
        <w:tc>
          <w:tcPr>
            <w:tcW w:w="1683" w:type="dxa"/>
            <w:shd w:val="clear" w:color="auto" w:fill="FFFFFF"/>
            <w:vAlign w:val="center"/>
          </w:tcPr>
          <w:p w14:paraId="6FCFE08D" w14:textId="12113D76" w:rsidR="00A7198C" w:rsidRPr="003421A1" w:rsidRDefault="003421A1" w:rsidP="00A7198C">
            <w:pPr>
              <w:spacing w:after="0"/>
              <w:jc w:val="right"/>
              <w:rPr>
                <w:rFonts w:ascii="Arial" w:hAnsi="Arial" w:cs="Arial"/>
                <w:bCs/>
                <w:sz w:val="20"/>
                <w:szCs w:val="20"/>
              </w:rPr>
            </w:pPr>
            <w:r w:rsidRPr="003421A1">
              <w:rPr>
                <w:rFonts w:ascii="Arial" w:hAnsi="Arial" w:cs="Arial"/>
                <w:bCs/>
                <w:sz w:val="20"/>
                <w:szCs w:val="20"/>
              </w:rPr>
              <w:t>20.000</w:t>
            </w:r>
          </w:p>
        </w:tc>
      </w:tr>
      <w:tr w:rsidR="00A7198C" w:rsidRPr="003234C5" w14:paraId="6B457632" w14:textId="77777777" w:rsidTr="00EA1F5D">
        <w:trPr>
          <w:trHeight w:val="170"/>
          <w:jc w:val="center"/>
        </w:trPr>
        <w:tc>
          <w:tcPr>
            <w:tcW w:w="5533" w:type="dxa"/>
            <w:shd w:val="clear" w:color="auto" w:fill="FFFFFF"/>
            <w:vAlign w:val="bottom"/>
          </w:tcPr>
          <w:p w14:paraId="6ACEFB08" w14:textId="1049EFB9" w:rsidR="00A7198C" w:rsidRPr="003234C5" w:rsidRDefault="00A7198C" w:rsidP="00A7198C">
            <w:pPr>
              <w:spacing w:after="0"/>
              <w:jc w:val="both"/>
              <w:rPr>
                <w:rFonts w:ascii="Arial" w:hAnsi="Arial" w:cs="Arial"/>
                <w:bCs/>
                <w:sz w:val="20"/>
                <w:szCs w:val="20"/>
              </w:rPr>
            </w:pPr>
            <w:r w:rsidRPr="003234C5">
              <w:rPr>
                <w:rFonts w:ascii="Arial" w:hAnsi="Arial" w:cs="Arial"/>
                <w:bCs/>
                <w:sz w:val="20"/>
                <w:szCs w:val="20"/>
              </w:rPr>
              <w:t>Riscos Nomeados (Incêndio)</w:t>
            </w:r>
          </w:p>
        </w:tc>
        <w:tc>
          <w:tcPr>
            <w:tcW w:w="1860" w:type="dxa"/>
            <w:shd w:val="clear" w:color="auto" w:fill="FFFFFF"/>
            <w:vAlign w:val="center"/>
          </w:tcPr>
          <w:p w14:paraId="21814C75" w14:textId="687F2FFF" w:rsidR="00A7198C" w:rsidRPr="00146BDF" w:rsidRDefault="005C0E98" w:rsidP="00A7198C">
            <w:pPr>
              <w:spacing w:after="0"/>
              <w:jc w:val="right"/>
              <w:rPr>
                <w:rFonts w:ascii="Arial" w:hAnsi="Arial" w:cs="Arial"/>
                <w:sz w:val="20"/>
                <w:szCs w:val="20"/>
              </w:rPr>
            </w:pPr>
            <w:r w:rsidRPr="00146BDF">
              <w:rPr>
                <w:rFonts w:ascii="Arial" w:hAnsi="Arial" w:cs="Arial"/>
                <w:sz w:val="20"/>
                <w:szCs w:val="20"/>
              </w:rPr>
              <w:t>12.000</w:t>
            </w:r>
          </w:p>
        </w:tc>
        <w:tc>
          <w:tcPr>
            <w:tcW w:w="1683" w:type="dxa"/>
            <w:shd w:val="clear" w:color="auto" w:fill="FFFFFF"/>
            <w:vAlign w:val="center"/>
          </w:tcPr>
          <w:p w14:paraId="785EE35E" w14:textId="5A2ADD45" w:rsidR="00A7198C" w:rsidRPr="003421A1" w:rsidRDefault="003421A1" w:rsidP="00A7198C">
            <w:pPr>
              <w:spacing w:after="0"/>
              <w:jc w:val="right"/>
              <w:rPr>
                <w:rFonts w:ascii="Arial" w:hAnsi="Arial" w:cs="Arial"/>
                <w:sz w:val="20"/>
                <w:szCs w:val="20"/>
              </w:rPr>
            </w:pPr>
            <w:r w:rsidRPr="003421A1">
              <w:rPr>
                <w:rFonts w:ascii="Arial" w:hAnsi="Arial" w:cs="Arial"/>
                <w:sz w:val="20"/>
                <w:szCs w:val="20"/>
              </w:rPr>
              <w:t>12.000</w:t>
            </w:r>
          </w:p>
        </w:tc>
      </w:tr>
      <w:tr w:rsidR="00A7198C" w:rsidRPr="003234C5" w14:paraId="6CF70073" w14:textId="77777777" w:rsidTr="00EA1F5D">
        <w:trPr>
          <w:trHeight w:val="170"/>
          <w:jc w:val="center"/>
        </w:trPr>
        <w:tc>
          <w:tcPr>
            <w:tcW w:w="5533" w:type="dxa"/>
            <w:shd w:val="clear" w:color="auto" w:fill="FFFFFF"/>
            <w:vAlign w:val="bottom"/>
          </w:tcPr>
          <w:p w14:paraId="62D44F7A" w14:textId="660DED08" w:rsidR="00A7198C" w:rsidRPr="003234C5" w:rsidRDefault="00A7198C" w:rsidP="00A7198C">
            <w:pPr>
              <w:spacing w:after="0"/>
              <w:jc w:val="both"/>
              <w:rPr>
                <w:rFonts w:ascii="Arial" w:hAnsi="Arial" w:cs="Arial"/>
                <w:b/>
                <w:bCs/>
                <w:sz w:val="20"/>
                <w:szCs w:val="20"/>
              </w:rPr>
            </w:pPr>
            <w:r w:rsidRPr="003234C5">
              <w:rPr>
                <w:rFonts w:ascii="Arial" w:hAnsi="Arial" w:cs="Arial"/>
                <w:b/>
                <w:bCs/>
                <w:sz w:val="20"/>
                <w:szCs w:val="20"/>
              </w:rPr>
              <w:t xml:space="preserve">TOTAL </w:t>
            </w:r>
          </w:p>
        </w:tc>
        <w:tc>
          <w:tcPr>
            <w:tcW w:w="1860" w:type="dxa"/>
            <w:shd w:val="clear" w:color="auto" w:fill="FFFFFF"/>
            <w:vAlign w:val="center"/>
          </w:tcPr>
          <w:p w14:paraId="05F9EA25" w14:textId="353CD7D8" w:rsidR="00A7198C" w:rsidRPr="00146BDF" w:rsidRDefault="005C0E98" w:rsidP="00A7198C">
            <w:pPr>
              <w:spacing w:after="0"/>
              <w:jc w:val="right"/>
              <w:rPr>
                <w:rFonts w:ascii="Arial" w:hAnsi="Arial" w:cs="Arial"/>
                <w:b/>
                <w:sz w:val="20"/>
                <w:szCs w:val="20"/>
              </w:rPr>
            </w:pPr>
            <w:r w:rsidRPr="00146BDF">
              <w:rPr>
                <w:rFonts w:ascii="Arial" w:hAnsi="Arial" w:cs="Arial"/>
                <w:b/>
                <w:sz w:val="20"/>
                <w:szCs w:val="20"/>
              </w:rPr>
              <w:t>32.000</w:t>
            </w:r>
          </w:p>
        </w:tc>
        <w:tc>
          <w:tcPr>
            <w:tcW w:w="1683" w:type="dxa"/>
            <w:shd w:val="clear" w:color="auto" w:fill="FFFFFF"/>
            <w:vAlign w:val="center"/>
          </w:tcPr>
          <w:p w14:paraId="5F98335B" w14:textId="6669ED87" w:rsidR="00A7198C" w:rsidRPr="003421A1" w:rsidRDefault="003421A1" w:rsidP="00A7198C">
            <w:pPr>
              <w:spacing w:after="0"/>
              <w:jc w:val="right"/>
              <w:rPr>
                <w:rFonts w:ascii="Arial" w:hAnsi="Arial" w:cs="Arial"/>
                <w:b/>
                <w:sz w:val="20"/>
                <w:szCs w:val="20"/>
              </w:rPr>
            </w:pPr>
            <w:r w:rsidRPr="003421A1">
              <w:rPr>
                <w:rFonts w:ascii="Arial" w:hAnsi="Arial" w:cs="Arial"/>
                <w:b/>
                <w:sz w:val="20"/>
                <w:szCs w:val="20"/>
              </w:rPr>
              <w:t>32.000</w:t>
            </w:r>
          </w:p>
        </w:tc>
      </w:tr>
      <w:tr w:rsidR="00C62487" w:rsidRPr="003234C5" w14:paraId="01CBD6EC" w14:textId="77777777" w:rsidTr="00EA1F5D">
        <w:trPr>
          <w:trHeight w:val="170"/>
          <w:jc w:val="center"/>
        </w:trPr>
        <w:tc>
          <w:tcPr>
            <w:tcW w:w="5533" w:type="dxa"/>
            <w:shd w:val="clear" w:color="auto" w:fill="FFFFFF"/>
            <w:vAlign w:val="bottom"/>
          </w:tcPr>
          <w:p w14:paraId="1092AD81" w14:textId="77777777" w:rsidR="00C62487" w:rsidRPr="003234C5" w:rsidRDefault="00C62487" w:rsidP="00A7198C">
            <w:pPr>
              <w:spacing w:after="0"/>
              <w:jc w:val="both"/>
              <w:rPr>
                <w:rFonts w:ascii="Arial" w:hAnsi="Arial" w:cs="Arial"/>
                <w:b/>
                <w:bCs/>
                <w:sz w:val="20"/>
                <w:szCs w:val="20"/>
              </w:rPr>
            </w:pPr>
          </w:p>
        </w:tc>
        <w:tc>
          <w:tcPr>
            <w:tcW w:w="1860" w:type="dxa"/>
            <w:shd w:val="clear" w:color="auto" w:fill="FFFFFF"/>
            <w:vAlign w:val="center"/>
          </w:tcPr>
          <w:p w14:paraId="6616E442" w14:textId="77777777" w:rsidR="00C62487" w:rsidRPr="00146BDF" w:rsidRDefault="00C62487" w:rsidP="00A7198C">
            <w:pPr>
              <w:spacing w:after="0"/>
              <w:jc w:val="right"/>
              <w:rPr>
                <w:rFonts w:ascii="Arial" w:hAnsi="Arial" w:cs="Arial"/>
                <w:b/>
                <w:sz w:val="20"/>
                <w:szCs w:val="20"/>
              </w:rPr>
            </w:pPr>
          </w:p>
        </w:tc>
        <w:tc>
          <w:tcPr>
            <w:tcW w:w="1683" w:type="dxa"/>
            <w:shd w:val="clear" w:color="auto" w:fill="FFFFFF"/>
            <w:vAlign w:val="center"/>
          </w:tcPr>
          <w:p w14:paraId="173FB33D" w14:textId="77777777" w:rsidR="00C62487" w:rsidRPr="003421A1" w:rsidRDefault="00C62487" w:rsidP="00A7198C">
            <w:pPr>
              <w:spacing w:after="0"/>
              <w:jc w:val="right"/>
              <w:rPr>
                <w:rFonts w:ascii="Arial" w:hAnsi="Arial" w:cs="Arial"/>
                <w:b/>
                <w:sz w:val="20"/>
                <w:szCs w:val="20"/>
              </w:rPr>
            </w:pPr>
          </w:p>
        </w:tc>
      </w:tr>
    </w:tbl>
    <w:p w14:paraId="544F5E0B" w14:textId="696E75DC" w:rsidR="003F078F" w:rsidRDefault="003F078F" w:rsidP="003F078F">
      <w:pPr>
        <w:widowControl w:val="0"/>
        <w:spacing w:after="0"/>
        <w:jc w:val="both"/>
        <w:rPr>
          <w:rFonts w:ascii="Arial" w:hAnsi="Arial" w:cs="Arial"/>
          <w:b/>
          <w:sz w:val="24"/>
          <w:szCs w:val="24"/>
        </w:rPr>
      </w:pPr>
    </w:p>
    <w:p w14:paraId="4DAC7082" w14:textId="6B65012B" w:rsidR="00BF1849" w:rsidRDefault="00BF1849" w:rsidP="003F078F">
      <w:pPr>
        <w:widowControl w:val="0"/>
        <w:spacing w:after="0"/>
        <w:jc w:val="both"/>
        <w:rPr>
          <w:rFonts w:ascii="Arial" w:hAnsi="Arial" w:cs="Arial"/>
          <w:b/>
          <w:sz w:val="24"/>
          <w:szCs w:val="24"/>
        </w:rPr>
      </w:pPr>
    </w:p>
    <w:p w14:paraId="1CEAB593" w14:textId="7344920E" w:rsidR="00BF1849" w:rsidRDefault="00BF1849" w:rsidP="003F078F">
      <w:pPr>
        <w:widowControl w:val="0"/>
        <w:spacing w:after="0"/>
        <w:jc w:val="both"/>
        <w:rPr>
          <w:rFonts w:ascii="Arial" w:hAnsi="Arial" w:cs="Arial"/>
          <w:b/>
          <w:sz w:val="24"/>
          <w:szCs w:val="24"/>
        </w:rPr>
      </w:pPr>
    </w:p>
    <w:p w14:paraId="28A41222" w14:textId="77777777" w:rsidR="00BF1849" w:rsidRDefault="00BF1849" w:rsidP="003F078F">
      <w:pPr>
        <w:widowControl w:val="0"/>
        <w:spacing w:after="0"/>
        <w:jc w:val="both"/>
        <w:rPr>
          <w:rFonts w:ascii="Arial" w:hAnsi="Arial" w:cs="Arial"/>
          <w:b/>
          <w:sz w:val="24"/>
          <w:szCs w:val="24"/>
        </w:rPr>
      </w:pPr>
    </w:p>
    <w:p w14:paraId="341375F7" w14:textId="0400D236" w:rsidR="00C62487" w:rsidRPr="003234C5" w:rsidRDefault="00200682" w:rsidP="00200682">
      <w:pPr>
        <w:widowControl w:val="0"/>
        <w:spacing w:before="240"/>
        <w:jc w:val="both"/>
        <w:rPr>
          <w:rFonts w:ascii="Arial" w:hAnsi="Arial" w:cs="Arial"/>
          <w:b/>
        </w:rPr>
      </w:pPr>
      <w:r w:rsidRPr="003234C5">
        <w:rPr>
          <w:rFonts w:ascii="Arial" w:hAnsi="Arial" w:cs="Arial"/>
          <w:b/>
        </w:rPr>
        <w:lastRenderedPageBreak/>
        <w:t>NOTA 3</w:t>
      </w:r>
      <w:r w:rsidR="00E85E5C">
        <w:rPr>
          <w:rFonts w:ascii="Arial" w:hAnsi="Arial" w:cs="Arial"/>
          <w:b/>
        </w:rPr>
        <w:t>8</w:t>
      </w:r>
      <w:r w:rsidRPr="003234C5">
        <w:rPr>
          <w:rFonts w:ascii="Arial" w:hAnsi="Arial" w:cs="Arial"/>
          <w:b/>
        </w:rPr>
        <w:t>. INSTRUMENTOS FINANCEIROS</w:t>
      </w:r>
    </w:p>
    <w:p w14:paraId="6146E269" w14:textId="6E554B49" w:rsidR="00E2145C" w:rsidRDefault="00200682" w:rsidP="00200682">
      <w:pPr>
        <w:autoSpaceDE w:val="0"/>
        <w:autoSpaceDN w:val="0"/>
        <w:adjustRightInd w:val="0"/>
        <w:jc w:val="both"/>
        <w:rPr>
          <w:rFonts w:ascii="Arial" w:hAnsi="Arial" w:cs="Arial"/>
        </w:rPr>
      </w:pPr>
      <w:r w:rsidRPr="003234C5">
        <w:rPr>
          <w:rFonts w:ascii="Arial" w:hAnsi="Arial" w:cs="Arial"/>
        </w:rPr>
        <w:t xml:space="preserve">As transações financeiras efetuadas pela Companhia são pertinentes às suas atividades econômicas, envolvendo particularmente contas a receber e a pagar, e financiamentos de cunho operacional. Esses instrumentos, devido a sua natureza, condições e prazos, têm seus valores contábeis registrados nos balanços patrimoniais próximos aos valores de mercado. </w:t>
      </w:r>
    </w:p>
    <w:p w14:paraId="59362036" w14:textId="77777777" w:rsidR="00033966" w:rsidRPr="003234C5" w:rsidRDefault="00033966" w:rsidP="00200682">
      <w:pPr>
        <w:autoSpaceDE w:val="0"/>
        <w:autoSpaceDN w:val="0"/>
        <w:adjustRightInd w:val="0"/>
        <w:jc w:val="both"/>
        <w:rPr>
          <w:rFonts w:ascii="Arial" w:hAnsi="Arial" w:cs="Arial"/>
        </w:rPr>
      </w:pPr>
    </w:p>
    <w:p w14:paraId="0A6457FC" w14:textId="7ED2190E" w:rsidR="00E2145C" w:rsidRPr="003234C5" w:rsidRDefault="00E2145C" w:rsidP="00E33A1E">
      <w:pPr>
        <w:autoSpaceDE w:val="0"/>
        <w:autoSpaceDN w:val="0"/>
        <w:adjustRightInd w:val="0"/>
        <w:jc w:val="both"/>
        <w:rPr>
          <w:rFonts w:ascii="Arial" w:hAnsi="Arial" w:cs="Arial"/>
          <w:b/>
          <w:u w:val="single"/>
        </w:rPr>
      </w:pPr>
      <w:r w:rsidRPr="003234C5">
        <w:rPr>
          <w:rFonts w:ascii="Arial" w:hAnsi="Arial" w:cs="Arial"/>
          <w:b/>
          <w:u w:val="single"/>
        </w:rPr>
        <w:t>Gerenciamento dos riscos financeiros</w:t>
      </w:r>
    </w:p>
    <w:p w14:paraId="524DC1A1" w14:textId="547A92CA" w:rsidR="00E33A1E" w:rsidRPr="003234C5" w:rsidRDefault="00E33A1E" w:rsidP="00E33A1E">
      <w:pPr>
        <w:autoSpaceDE w:val="0"/>
        <w:autoSpaceDN w:val="0"/>
        <w:adjustRightInd w:val="0"/>
        <w:jc w:val="both"/>
        <w:rPr>
          <w:rFonts w:ascii="Arial" w:hAnsi="Arial" w:cs="Arial"/>
        </w:rPr>
      </w:pPr>
      <w:r w:rsidRPr="003234C5">
        <w:rPr>
          <w:rFonts w:ascii="Arial" w:hAnsi="Arial" w:cs="Arial"/>
        </w:rPr>
        <w:t xml:space="preserve">A </w:t>
      </w:r>
      <w:r w:rsidR="00F71A6C" w:rsidRPr="003234C5">
        <w:rPr>
          <w:rFonts w:ascii="Arial" w:hAnsi="Arial" w:cs="Arial"/>
        </w:rPr>
        <w:t>CEGÁS</w:t>
      </w:r>
      <w:r w:rsidRPr="003234C5">
        <w:rPr>
          <w:rFonts w:ascii="Arial" w:hAnsi="Arial" w:cs="Arial"/>
        </w:rPr>
        <w:t xml:space="preserve"> possui exposição para os seguintes riscos resultantes de instrumentos financeiros:</w:t>
      </w:r>
    </w:p>
    <w:p w14:paraId="2C447876" w14:textId="0DC03FE1" w:rsidR="00E33A1E" w:rsidRPr="003234C5" w:rsidRDefault="00E33A1E" w:rsidP="00E33A1E">
      <w:pPr>
        <w:autoSpaceDE w:val="0"/>
        <w:autoSpaceDN w:val="0"/>
        <w:adjustRightInd w:val="0"/>
        <w:jc w:val="both"/>
        <w:rPr>
          <w:rFonts w:ascii="Arial" w:hAnsi="Arial" w:cs="Arial"/>
        </w:rPr>
      </w:pPr>
      <w:r w:rsidRPr="003234C5">
        <w:rPr>
          <w:rFonts w:ascii="Arial" w:hAnsi="Arial" w:cs="Arial"/>
        </w:rPr>
        <w:t>- Risco de Crédito (</w:t>
      </w:r>
      <w:proofErr w:type="spellStart"/>
      <w:r w:rsidRPr="003234C5">
        <w:rPr>
          <w:rFonts w:ascii="Arial" w:hAnsi="Arial" w:cs="Arial"/>
        </w:rPr>
        <w:t>ii</w:t>
      </w:r>
      <w:proofErr w:type="spellEnd"/>
      <w:r w:rsidRPr="003234C5">
        <w:rPr>
          <w:rFonts w:ascii="Arial" w:hAnsi="Arial" w:cs="Arial"/>
        </w:rPr>
        <w:t>)</w:t>
      </w:r>
    </w:p>
    <w:p w14:paraId="235F58EE" w14:textId="5C21F11F" w:rsidR="00E33A1E" w:rsidRPr="003234C5" w:rsidRDefault="00E33A1E" w:rsidP="00E33A1E">
      <w:pPr>
        <w:autoSpaceDE w:val="0"/>
        <w:autoSpaceDN w:val="0"/>
        <w:adjustRightInd w:val="0"/>
        <w:jc w:val="both"/>
        <w:rPr>
          <w:rFonts w:ascii="Arial" w:hAnsi="Arial" w:cs="Arial"/>
        </w:rPr>
      </w:pPr>
      <w:r w:rsidRPr="003234C5">
        <w:rPr>
          <w:rFonts w:ascii="Arial" w:hAnsi="Arial" w:cs="Arial"/>
        </w:rPr>
        <w:t>- Risco de Liquidez (</w:t>
      </w:r>
      <w:proofErr w:type="spellStart"/>
      <w:r w:rsidRPr="003234C5">
        <w:rPr>
          <w:rFonts w:ascii="Arial" w:hAnsi="Arial" w:cs="Arial"/>
        </w:rPr>
        <w:t>iii</w:t>
      </w:r>
      <w:proofErr w:type="spellEnd"/>
      <w:r w:rsidRPr="003234C5">
        <w:rPr>
          <w:rFonts w:ascii="Arial" w:hAnsi="Arial" w:cs="Arial"/>
        </w:rPr>
        <w:t>)</w:t>
      </w:r>
    </w:p>
    <w:p w14:paraId="1D2C1FBC" w14:textId="77D5FB69" w:rsidR="00E33A1E" w:rsidRDefault="00E33A1E" w:rsidP="00E33A1E">
      <w:pPr>
        <w:autoSpaceDE w:val="0"/>
        <w:autoSpaceDN w:val="0"/>
        <w:adjustRightInd w:val="0"/>
        <w:jc w:val="both"/>
        <w:rPr>
          <w:rFonts w:ascii="Arial" w:hAnsi="Arial" w:cs="Arial"/>
        </w:rPr>
      </w:pPr>
      <w:r w:rsidRPr="003234C5">
        <w:rPr>
          <w:rFonts w:ascii="Arial" w:hAnsi="Arial" w:cs="Arial"/>
        </w:rPr>
        <w:t>- Risco de Mercado (</w:t>
      </w:r>
      <w:proofErr w:type="spellStart"/>
      <w:r w:rsidRPr="003234C5">
        <w:rPr>
          <w:rFonts w:ascii="Arial" w:hAnsi="Arial" w:cs="Arial"/>
        </w:rPr>
        <w:t>iv</w:t>
      </w:r>
      <w:proofErr w:type="spellEnd"/>
      <w:r w:rsidRPr="003234C5">
        <w:rPr>
          <w:rFonts w:ascii="Arial" w:hAnsi="Arial" w:cs="Arial"/>
        </w:rPr>
        <w:t>)</w:t>
      </w:r>
    </w:p>
    <w:p w14:paraId="671ADF22" w14:textId="77777777" w:rsidR="00033966" w:rsidRPr="003234C5" w:rsidRDefault="00033966" w:rsidP="00E33A1E">
      <w:pPr>
        <w:autoSpaceDE w:val="0"/>
        <w:autoSpaceDN w:val="0"/>
        <w:adjustRightInd w:val="0"/>
        <w:jc w:val="both"/>
        <w:rPr>
          <w:rFonts w:ascii="Arial" w:hAnsi="Arial" w:cs="Arial"/>
          <w:b/>
        </w:rPr>
      </w:pPr>
    </w:p>
    <w:p w14:paraId="4FC75F98" w14:textId="42FE0665" w:rsidR="00E33A1E" w:rsidRPr="003234C5" w:rsidRDefault="00E33A1E" w:rsidP="00E33A1E">
      <w:pPr>
        <w:autoSpaceDE w:val="0"/>
        <w:autoSpaceDN w:val="0"/>
        <w:adjustRightInd w:val="0"/>
        <w:jc w:val="both"/>
        <w:rPr>
          <w:rFonts w:ascii="Arial" w:hAnsi="Arial" w:cs="Arial"/>
          <w:b/>
        </w:rPr>
      </w:pPr>
      <w:r w:rsidRPr="003234C5">
        <w:rPr>
          <w:rFonts w:ascii="Arial" w:hAnsi="Arial" w:cs="Arial"/>
          <w:b/>
        </w:rPr>
        <w:t>(i) Estrutura de gerenciamento de risco</w:t>
      </w:r>
    </w:p>
    <w:p w14:paraId="6D5B88E1" w14:textId="67F50780" w:rsidR="00E2145C" w:rsidRPr="003234C5" w:rsidRDefault="00E2145C" w:rsidP="00E2145C">
      <w:pPr>
        <w:autoSpaceDE w:val="0"/>
        <w:autoSpaceDN w:val="0"/>
        <w:adjustRightInd w:val="0"/>
        <w:jc w:val="both"/>
        <w:rPr>
          <w:rFonts w:ascii="Arial" w:hAnsi="Arial" w:cs="Arial"/>
        </w:rPr>
      </w:pPr>
      <w:r w:rsidRPr="003234C5">
        <w:rPr>
          <w:rFonts w:ascii="Arial" w:hAnsi="Arial" w:cs="Arial"/>
        </w:rPr>
        <w:t xml:space="preserve">O Conselho de Administração da Companhia tem a responsabilidade global sobre o estabelecimento e supervisão da estrutura de gerenciamento de risco </w:t>
      </w:r>
      <w:r w:rsidR="00E33A1E" w:rsidRPr="003234C5">
        <w:rPr>
          <w:rFonts w:ascii="Arial" w:hAnsi="Arial" w:cs="Arial"/>
        </w:rPr>
        <w:t xml:space="preserve">da </w:t>
      </w:r>
      <w:r w:rsidR="00F71A6C" w:rsidRPr="003234C5">
        <w:rPr>
          <w:rFonts w:ascii="Arial" w:hAnsi="Arial" w:cs="Arial"/>
        </w:rPr>
        <w:t>CEGÁS</w:t>
      </w:r>
      <w:r w:rsidRPr="003234C5">
        <w:rPr>
          <w:rFonts w:ascii="Arial" w:hAnsi="Arial" w:cs="Arial"/>
        </w:rPr>
        <w:t xml:space="preserve">. O Conselho de Administração estabeleceu o Comitê de </w:t>
      </w:r>
      <w:r w:rsidR="00E33A1E" w:rsidRPr="003234C5">
        <w:rPr>
          <w:rFonts w:ascii="Arial" w:hAnsi="Arial" w:cs="Arial"/>
        </w:rPr>
        <w:t>Auditoria Estatutária</w:t>
      </w:r>
      <w:r w:rsidRPr="003234C5">
        <w:rPr>
          <w:rFonts w:ascii="Arial" w:hAnsi="Arial" w:cs="Arial"/>
        </w:rPr>
        <w:t>, que é responsável pelo desenvolvimento e acompanhamento das políticas de gerenciamento de risco d</w:t>
      </w:r>
      <w:r w:rsidR="00E33A1E" w:rsidRPr="003234C5">
        <w:rPr>
          <w:rFonts w:ascii="Arial" w:hAnsi="Arial" w:cs="Arial"/>
        </w:rPr>
        <w:t xml:space="preserve">a </w:t>
      </w:r>
      <w:r w:rsidR="00F71A6C" w:rsidRPr="003234C5">
        <w:rPr>
          <w:rFonts w:ascii="Arial" w:hAnsi="Arial" w:cs="Arial"/>
        </w:rPr>
        <w:t>CEGÁS</w:t>
      </w:r>
      <w:r w:rsidRPr="003234C5">
        <w:rPr>
          <w:rFonts w:ascii="Arial" w:hAnsi="Arial" w:cs="Arial"/>
        </w:rPr>
        <w:t xml:space="preserve">. O Comitê reporta </w:t>
      </w:r>
      <w:r w:rsidR="00E33A1E" w:rsidRPr="003234C5">
        <w:rPr>
          <w:rFonts w:ascii="Arial" w:hAnsi="Arial" w:cs="Arial"/>
        </w:rPr>
        <w:t>periodicamente</w:t>
      </w:r>
      <w:r w:rsidRPr="003234C5">
        <w:rPr>
          <w:rFonts w:ascii="Arial" w:hAnsi="Arial" w:cs="Arial"/>
        </w:rPr>
        <w:t xml:space="preserve"> ao Conselho de Administração sobre suas atividades.</w:t>
      </w:r>
    </w:p>
    <w:p w14:paraId="26E361D3" w14:textId="634460F8" w:rsidR="00E2145C" w:rsidRPr="003234C5" w:rsidRDefault="00E2145C" w:rsidP="00E2145C">
      <w:pPr>
        <w:autoSpaceDE w:val="0"/>
        <w:autoSpaceDN w:val="0"/>
        <w:adjustRightInd w:val="0"/>
        <w:jc w:val="both"/>
        <w:rPr>
          <w:rFonts w:ascii="Arial" w:hAnsi="Arial" w:cs="Arial"/>
        </w:rPr>
      </w:pPr>
      <w:r w:rsidRPr="003234C5">
        <w:rPr>
          <w:rFonts w:ascii="Arial" w:hAnsi="Arial" w:cs="Arial"/>
        </w:rPr>
        <w:t xml:space="preserve">As políticas de gerenciamento de risco </w:t>
      </w:r>
      <w:r w:rsidR="00E33A1E" w:rsidRPr="003234C5">
        <w:rPr>
          <w:rFonts w:ascii="Arial" w:hAnsi="Arial" w:cs="Arial"/>
        </w:rPr>
        <w:t xml:space="preserve">da </w:t>
      </w:r>
      <w:r w:rsidR="00F71A6C" w:rsidRPr="003234C5">
        <w:rPr>
          <w:rFonts w:ascii="Arial" w:hAnsi="Arial" w:cs="Arial"/>
        </w:rPr>
        <w:t>CEGÁS</w:t>
      </w:r>
      <w:r w:rsidRPr="003234C5">
        <w:rPr>
          <w:rFonts w:ascii="Arial" w:hAnsi="Arial" w:cs="Arial"/>
        </w:rPr>
        <w:t xml:space="preserve"> são estabelecidas para identificar e analisar os riscos aos quais </w:t>
      </w:r>
      <w:r w:rsidR="00E33A1E" w:rsidRPr="003234C5">
        <w:rPr>
          <w:rFonts w:ascii="Arial" w:hAnsi="Arial" w:cs="Arial"/>
        </w:rPr>
        <w:t xml:space="preserve">a Companhia </w:t>
      </w:r>
      <w:r w:rsidRPr="003234C5">
        <w:rPr>
          <w:rFonts w:ascii="Arial" w:hAnsi="Arial" w:cs="Arial"/>
        </w:rPr>
        <w:t>está expost</w:t>
      </w:r>
      <w:r w:rsidR="00E33A1E" w:rsidRPr="003234C5">
        <w:rPr>
          <w:rFonts w:ascii="Arial" w:hAnsi="Arial" w:cs="Arial"/>
        </w:rPr>
        <w:t>a</w:t>
      </w:r>
      <w:r w:rsidRPr="003234C5">
        <w:rPr>
          <w:rFonts w:ascii="Arial" w:hAnsi="Arial" w:cs="Arial"/>
        </w:rPr>
        <w:t xml:space="preserve">, para definir limites de riscos e controles apropriados, e para monitorar os riscos e a aderência aos limites definidos. As políticas de gerenciamento de risco e os sistemas são revisados regularmente para refletir mudanças nas condições de mercado e nas atividades </w:t>
      </w:r>
      <w:r w:rsidR="00E33A1E" w:rsidRPr="003234C5">
        <w:rPr>
          <w:rFonts w:ascii="Arial" w:hAnsi="Arial" w:cs="Arial"/>
        </w:rPr>
        <w:t>da Companhia</w:t>
      </w:r>
      <w:r w:rsidRPr="003234C5">
        <w:rPr>
          <w:rFonts w:ascii="Arial" w:hAnsi="Arial" w:cs="Arial"/>
        </w:rPr>
        <w:t xml:space="preserve">. </w:t>
      </w:r>
      <w:r w:rsidR="00E33A1E" w:rsidRPr="003234C5">
        <w:rPr>
          <w:rFonts w:ascii="Arial" w:hAnsi="Arial" w:cs="Arial"/>
        </w:rPr>
        <w:t xml:space="preserve">A </w:t>
      </w:r>
      <w:r w:rsidR="00F71A6C" w:rsidRPr="003234C5">
        <w:rPr>
          <w:rFonts w:ascii="Arial" w:hAnsi="Arial" w:cs="Arial"/>
        </w:rPr>
        <w:t>CEGÁS</w:t>
      </w:r>
      <w:r w:rsidRPr="003234C5">
        <w:rPr>
          <w:rFonts w:ascii="Arial" w:hAnsi="Arial" w:cs="Arial"/>
        </w:rPr>
        <w:t xml:space="preserve"> através de suas normas e procedimentos de treinamento e gerenciamento, busca manter um ambiente de disciplina e controle no qual todos os </w:t>
      </w:r>
      <w:r w:rsidR="00C23F57" w:rsidRPr="003234C5">
        <w:rPr>
          <w:rFonts w:ascii="Arial" w:hAnsi="Arial" w:cs="Arial"/>
        </w:rPr>
        <w:t>empregados</w:t>
      </w:r>
      <w:r w:rsidRPr="003234C5">
        <w:rPr>
          <w:rFonts w:ascii="Arial" w:hAnsi="Arial" w:cs="Arial"/>
        </w:rPr>
        <w:t xml:space="preserve"> tenham consciência de suas atribuições e obrigações. </w:t>
      </w:r>
    </w:p>
    <w:p w14:paraId="75A0E7FA" w14:textId="0C7E98A7" w:rsidR="00D33D59" w:rsidRDefault="00E2145C" w:rsidP="00E2145C">
      <w:pPr>
        <w:autoSpaceDE w:val="0"/>
        <w:autoSpaceDN w:val="0"/>
        <w:adjustRightInd w:val="0"/>
        <w:jc w:val="both"/>
        <w:rPr>
          <w:rFonts w:ascii="Arial" w:hAnsi="Arial" w:cs="Arial"/>
        </w:rPr>
      </w:pPr>
      <w:r w:rsidRPr="003234C5">
        <w:rPr>
          <w:rFonts w:ascii="Arial" w:hAnsi="Arial" w:cs="Arial"/>
        </w:rPr>
        <w:t xml:space="preserve">O Comitê de Auditoria </w:t>
      </w:r>
      <w:r w:rsidR="00E33A1E" w:rsidRPr="003234C5">
        <w:rPr>
          <w:rFonts w:ascii="Arial" w:hAnsi="Arial" w:cs="Arial"/>
        </w:rPr>
        <w:t>da Companhia</w:t>
      </w:r>
      <w:r w:rsidRPr="003234C5">
        <w:rPr>
          <w:rFonts w:ascii="Arial" w:hAnsi="Arial" w:cs="Arial"/>
        </w:rPr>
        <w:t xml:space="preserve"> supervisiona a forma como a Administração monitora a aderência às políticas e procedimentos de gerenciamento de risco, e revisa a adequação da estrutura de gerenciamento de risco em relação aos riscos aos quais </w:t>
      </w:r>
      <w:r w:rsidR="00E33A1E" w:rsidRPr="003234C5">
        <w:rPr>
          <w:rFonts w:ascii="Arial" w:hAnsi="Arial" w:cs="Arial"/>
        </w:rPr>
        <w:t>a Companhia</w:t>
      </w:r>
      <w:r w:rsidRPr="003234C5">
        <w:rPr>
          <w:rFonts w:ascii="Arial" w:hAnsi="Arial" w:cs="Arial"/>
        </w:rPr>
        <w:t xml:space="preserve"> está expost</w:t>
      </w:r>
      <w:r w:rsidR="00E33A1E" w:rsidRPr="003234C5">
        <w:rPr>
          <w:rFonts w:ascii="Arial" w:hAnsi="Arial" w:cs="Arial"/>
        </w:rPr>
        <w:t>a</w:t>
      </w:r>
      <w:r w:rsidRPr="003234C5">
        <w:rPr>
          <w:rFonts w:ascii="Arial" w:hAnsi="Arial" w:cs="Arial"/>
        </w:rPr>
        <w:t>. O Comitê de Auditoria é suportado pel</w:t>
      </w:r>
      <w:r w:rsidR="00F9546C" w:rsidRPr="003234C5">
        <w:rPr>
          <w:rFonts w:ascii="Arial" w:hAnsi="Arial" w:cs="Arial"/>
        </w:rPr>
        <w:t>a Coordenadoria</w:t>
      </w:r>
      <w:r w:rsidRPr="003234C5">
        <w:rPr>
          <w:rFonts w:ascii="Arial" w:hAnsi="Arial" w:cs="Arial"/>
        </w:rPr>
        <w:t xml:space="preserve"> de </w:t>
      </w:r>
      <w:r w:rsidR="00F9546C" w:rsidRPr="003234C5">
        <w:rPr>
          <w:rFonts w:ascii="Arial" w:hAnsi="Arial" w:cs="Arial"/>
        </w:rPr>
        <w:t>A</w:t>
      </w:r>
      <w:r w:rsidRPr="003234C5">
        <w:rPr>
          <w:rFonts w:ascii="Arial" w:hAnsi="Arial" w:cs="Arial"/>
        </w:rPr>
        <w:t xml:space="preserve">uditoria </w:t>
      </w:r>
      <w:r w:rsidR="00F9546C" w:rsidRPr="003234C5">
        <w:rPr>
          <w:rFonts w:ascii="Arial" w:hAnsi="Arial" w:cs="Arial"/>
        </w:rPr>
        <w:t>I</w:t>
      </w:r>
      <w:r w:rsidRPr="003234C5">
        <w:rPr>
          <w:rFonts w:ascii="Arial" w:hAnsi="Arial" w:cs="Arial"/>
        </w:rPr>
        <w:t>nterna na execução de suas atribuições. A auditoria interna realiza revisões regulares e esporádicas nas políticas e procedimentos de gerenciamento de risco, e o resultado destes procedimentos é reportado para o Comitê de Auditoria.</w:t>
      </w:r>
    </w:p>
    <w:p w14:paraId="6FB2FAC2" w14:textId="77777777" w:rsidR="00033966" w:rsidRPr="003234C5" w:rsidRDefault="00033966" w:rsidP="00E2145C">
      <w:pPr>
        <w:autoSpaceDE w:val="0"/>
        <w:autoSpaceDN w:val="0"/>
        <w:adjustRightInd w:val="0"/>
        <w:jc w:val="both"/>
        <w:rPr>
          <w:rFonts w:ascii="Arial" w:hAnsi="Arial" w:cs="Arial"/>
        </w:rPr>
      </w:pPr>
    </w:p>
    <w:p w14:paraId="18192594" w14:textId="1090962C" w:rsidR="00F9075F" w:rsidRPr="003234C5" w:rsidRDefault="00E33A1E" w:rsidP="00200682">
      <w:pPr>
        <w:autoSpaceDE w:val="0"/>
        <w:autoSpaceDN w:val="0"/>
        <w:adjustRightInd w:val="0"/>
        <w:jc w:val="both"/>
        <w:rPr>
          <w:rFonts w:ascii="Arial" w:hAnsi="Arial" w:cs="Arial"/>
          <w:b/>
        </w:rPr>
      </w:pPr>
      <w:r w:rsidRPr="003234C5">
        <w:rPr>
          <w:rFonts w:ascii="Arial" w:hAnsi="Arial" w:cs="Arial"/>
          <w:b/>
        </w:rPr>
        <w:t>(</w:t>
      </w:r>
      <w:proofErr w:type="spellStart"/>
      <w:r w:rsidRPr="003234C5">
        <w:rPr>
          <w:rFonts w:ascii="Arial" w:hAnsi="Arial" w:cs="Arial"/>
          <w:b/>
        </w:rPr>
        <w:t>ii</w:t>
      </w:r>
      <w:proofErr w:type="spellEnd"/>
      <w:r w:rsidRPr="003234C5">
        <w:rPr>
          <w:rFonts w:ascii="Arial" w:hAnsi="Arial" w:cs="Arial"/>
          <w:b/>
        </w:rPr>
        <w:t>) Risco de crédito</w:t>
      </w:r>
    </w:p>
    <w:p w14:paraId="15DDE111" w14:textId="50693CA7" w:rsidR="00E33A1E" w:rsidRPr="003234C5" w:rsidRDefault="00E33A1E" w:rsidP="00E33A1E">
      <w:pPr>
        <w:autoSpaceDE w:val="0"/>
        <w:autoSpaceDN w:val="0"/>
        <w:adjustRightInd w:val="0"/>
        <w:jc w:val="both"/>
        <w:rPr>
          <w:rFonts w:ascii="Arial" w:hAnsi="Arial" w:cs="Arial"/>
        </w:rPr>
      </w:pPr>
      <w:r w:rsidRPr="003234C5">
        <w:rPr>
          <w:rFonts w:ascii="Arial" w:hAnsi="Arial" w:cs="Arial"/>
        </w:rPr>
        <w:t xml:space="preserve">Risco de crédito é o risco de </w:t>
      </w:r>
      <w:r w:rsidR="004E606D" w:rsidRPr="003234C5">
        <w:rPr>
          <w:rFonts w:ascii="Arial" w:hAnsi="Arial" w:cs="Arial"/>
        </w:rPr>
        <w:t>a Companhia</w:t>
      </w:r>
      <w:r w:rsidRPr="003234C5">
        <w:rPr>
          <w:rFonts w:ascii="Arial" w:hAnsi="Arial" w:cs="Arial"/>
        </w:rPr>
        <w:t xml:space="preserve"> incorrer em perdas financeiras caso um cliente ou uma contraparte em um instrumento financeiro falhe em cumprir com suas obrigações </w:t>
      </w:r>
      <w:r w:rsidRPr="003234C5">
        <w:rPr>
          <w:rFonts w:ascii="Arial" w:hAnsi="Arial" w:cs="Arial"/>
        </w:rPr>
        <w:lastRenderedPageBreak/>
        <w:t>contratuais. Esse risco é principalmente proveniente das contas a receber de clientes e de instrumentos financeiros d</w:t>
      </w:r>
      <w:r w:rsidR="004E606D" w:rsidRPr="003234C5">
        <w:rPr>
          <w:rFonts w:ascii="Arial" w:hAnsi="Arial" w:cs="Arial"/>
        </w:rPr>
        <w:t>a Companhia</w:t>
      </w:r>
      <w:r w:rsidRPr="003234C5">
        <w:rPr>
          <w:rFonts w:ascii="Arial" w:hAnsi="Arial" w:cs="Arial"/>
        </w:rPr>
        <w:t>.</w:t>
      </w:r>
    </w:p>
    <w:p w14:paraId="7048B259" w14:textId="2BCC6CAF" w:rsidR="004E606D" w:rsidRPr="003234C5" w:rsidRDefault="004E606D" w:rsidP="00E33A1E">
      <w:pPr>
        <w:autoSpaceDE w:val="0"/>
        <w:autoSpaceDN w:val="0"/>
        <w:adjustRightInd w:val="0"/>
        <w:jc w:val="both"/>
        <w:rPr>
          <w:rFonts w:ascii="Arial" w:hAnsi="Arial" w:cs="Arial"/>
        </w:rPr>
      </w:pPr>
      <w:r w:rsidRPr="003234C5">
        <w:rPr>
          <w:rFonts w:ascii="Arial" w:hAnsi="Arial" w:cs="Arial"/>
        </w:rPr>
        <w:t xml:space="preserve">A Companhia está exposta ao risco de crédito de instituições financeiras decorrentes da administração de seu caixa e equivalente de caixa. Tal risco consiste na impossibilidade de saque ou resgate dos valores depositados. A exposição máxima ao risco de crédito está representada pelos saldos de caixa e equivalentes de caixa </w:t>
      </w:r>
      <w:r w:rsidR="00263885" w:rsidRPr="003234C5">
        <w:rPr>
          <w:rFonts w:ascii="Arial" w:hAnsi="Arial" w:cs="Arial"/>
        </w:rPr>
        <w:t xml:space="preserve">e por contas a receber </w:t>
      </w:r>
      <w:r w:rsidRPr="003234C5">
        <w:rPr>
          <w:rFonts w:ascii="Arial" w:hAnsi="Arial" w:cs="Arial"/>
        </w:rPr>
        <w:t>em 3</w:t>
      </w:r>
      <w:r w:rsidR="008F54D6" w:rsidRPr="003234C5">
        <w:rPr>
          <w:rFonts w:ascii="Arial" w:hAnsi="Arial" w:cs="Arial"/>
        </w:rPr>
        <w:t>0</w:t>
      </w:r>
      <w:r w:rsidRPr="003234C5">
        <w:rPr>
          <w:rFonts w:ascii="Arial" w:hAnsi="Arial" w:cs="Arial"/>
        </w:rPr>
        <w:t xml:space="preserve"> de </w:t>
      </w:r>
      <w:r w:rsidR="00472C5D">
        <w:rPr>
          <w:rFonts w:ascii="Arial" w:hAnsi="Arial" w:cs="Arial"/>
        </w:rPr>
        <w:t xml:space="preserve">dezembro </w:t>
      </w:r>
      <w:r w:rsidRPr="003234C5">
        <w:rPr>
          <w:rFonts w:ascii="Arial" w:hAnsi="Arial" w:cs="Arial"/>
        </w:rPr>
        <w:t>de 201</w:t>
      </w:r>
      <w:r w:rsidR="00B04D55" w:rsidRPr="003234C5">
        <w:rPr>
          <w:rFonts w:ascii="Arial" w:hAnsi="Arial" w:cs="Arial"/>
        </w:rPr>
        <w:t>9</w:t>
      </w:r>
      <w:r w:rsidR="00DA28FA" w:rsidRPr="003234C5">
        <w:rPr>
          <w:rFonts w:ascii="Arial" w:hAnsi="Arial" w:cs="Arial"/>
        </w:rPr>
        <w:t>.</w:t>
      </w:r>
    </w:p>
    <w:p w14:paraId="58DE7CF3" w14:textId="5310A554" w:rsidR="004E606D" w:rsidRPr="003234C5" w:rsidRDefault="004E606D" w:rsidP="00E33A1E">
      <w:pPr>
        <w:autoSpaceDE w:val="0"/>
        <w:autoSpaceDN w:val="0"/>
        <w:adjustRightInd w:val="0"/>
        <w:jc w:val="both"/>
        <w:rPr>
          <w:rFonts w:ascii="Arial" w:hAnsi="Arial" w:cs="Arial"/>
        </w:rPr>
      </w:pPr>
      <w:r w:rsidRPr="003234C5">
        <w:rPr>
          <w:rFonts w:ascii="Arial" w:hAnsi="Arial" w:cs="Arial"/>
        </w:rPr>
        <w:t>A administração avalia que os riscos de crédito associados aos saldos de caixa e equivalentes de caixa são reduzidos em função de suas operações serem realizadas com instituições financeiras brasileiras de reconhecida liquidez.</w:t>
      </w:r>
    </w:p>
    <w:p w14:paraId="4E778480" w14:textId="4A970094" w:rsidR="00411032" w:rsidRPr="00411032" w:rsidRDefault="00DA28FA" w:rsidP="00411032">
      <w:pPr>
        <w:autoSpaceDE w:val="0"/>
        <w:autoSpaceDN w:val="0"/>
        <w:adjustRightInd w:val="0"/>
        <w:jc w:val="both"/>
        <w:rPr>
          <w:rFonts w:ascii="Arial" w:hAnsi="Arial" w:cs="Arial"/>
        </w:rPr>
      </w:pPr>
      <w:r w:rsidRPr="00C85368">
        <w:rPr>
          <w:rFonts w:ascii="Arial" w:hAnsi="Arial" w:cs="Arial"/>
        </w:rPr>
        <w:t xml:space="preserve">A </w:t>
      </w:r>
      <w:r w:rsidR="00F71A6C" w:rsidRPr="00C85368">
        <w:rPr>
          <w:rFonts w:ascii="Arial" w:hAnsi="Arial" w:cs="Arial"/>
        </w:rPr>
        <w:t>CEGÁS</w:t>
      </w:r>
      <w:r w:rsidRPr="00C85368">
        <w:rPr>
          <w:rFonts w:ascii="Arial" w:hAnsi="Arial" w:cs="Arial"/>
        </w:rPr>
        <w:t xml:space="preserve"> está exposta a possibilidade das perdas decorrentes de inadimplência de suas contrapartes. Para mitigar este risco, a Companhia adota como prática a análise das situações financeira e patrimonial de suas contrapartes</w:t>
      </w:r>
      <w:r w:rsidR="002E60CC" w:rsidRPr="00C85368">
        <w:rPr>
          <w:rFonts w:ascii="Arial" w:hAnsi="Arial" w:cs="Arial"/>
        </w:rPr>
        <w:t xml:space="preserve"> </w:t>
      </w:r>
      <w:r w:rsidRPr="00C85368">
        <w:rPr>
          <w:rFonts w:ascii="Arial" w:hAnsi="Arial" w:cs="Arial"/>
        </w:rPr>
        <w:t>e acompanhamento permanente das posições em aberto.</w:t>
      </w:r>
    </w:p>
    <w:p w14:paraId="31F7B449" w14:textId="0E7480E4" w:rsidR="002162FF" w:rsidRDefault="002162FF" w:rsidP="000F37C3">
      <w:pPr>
        <w:jc w:val="both"/>
        <w:rPr>
          <w:rFonts w:ascii="Arial" w:hAnsi="Arial" w:cs="Arial"/>
        </w:rPr>
      </w:pPr>
      <w:r w:rsidRPr="00B25E84">
        <w:rPr>
          <w:rFonts w:ascii="Arial" w:hAnsi="Arial" w:cs="Arial"/>
        </w:rPr>
        <w:t>Uma análise de redução ao valor recuperável é efetuada a cada data de reporte</w:t>
      </w:r>
      <w:r w:rsidRPr="00B25E84">
        <w:rPr>
          <w:rFonts w:ascii="Arial" w:hAnsi="Arial" w:cs="Arial"/>
        </w:rPr>
        <w:br/>
        <w:t>usando uma matriz de provisão para avaliar as perdas de crédito esperadas. As</w:t>
      </w:r>
      <w:r w:rsidRPr="00B25E84">
        <w:rPr>
          <w:rFonts w:ascii="Arial" w:hAnsi="Arial" w:cs="Arial"/>
        </w:rPr>
        <w:br/>
        <w:t>taxas de provisão são baseadas em dias de atraso</w:t>
      </w:r>
      <w:r w:rsidR="00163723" w:rsidRPr="00B25E84">
        <w:rPr>
          <w:rFonts w:ascii="Arial" w:hAnsi="Arial" w:cs="Arial"/>
        </w:rPr>
        <w:t xml:space="preserve">, sendo </w:t>
      </w:r>
      <w:r w:rsidR="007C6B48" w:rsidRPr="00B25E84">
        <w:rPr>
          <w:rFonts w:ascii="Arial" w:hAnsi="Arial" w:cs="Arial"/>
        </w:rPr>
        <w:t xml:space="preserve">classificado em 4 grupos: a vencer, vencidas até </w:t>
      </w:r>
      <w:r w:rsidR="003316C9" w:rsidRPr="00B25E84">
        <w:rPr>
          <w:rFonts w:ascii="Arial" w:hAnsi="Arial" w:cs="Arial"/>
        </w:rPr>
        <w:t>30 dias, vencidas entre 30</w:t>
      </w:r>
      <w:r w:rsidR="00DE47C6" w:rsidRPr="00B25E84">
        <w:rPr>
          <w:rFonts w:ascii="Arial" w:hAnsi="Arial" w:cs="Arial"/>
        </w:rPr>
        <w:t xml:space="preserve"> e 365</w:t>
      </w:r>
      <w:r w:rsidR="00FA187A" w:rsidRPr="00B25E84">
        <w:rPr>
          <w:rFonts w:ascii="Arial" w:hAnsi="Arial" w:cs="Arial"/>
        </w:rPr>
        <w:t xml:space="preserve"> dias e vencidas a mais de 365 dias</w:t>
      </w:r>
      <w:r w:rsidRPr="00B25E84">
        <w:rPr>
          <w:rFonts w:ascii="Arial" w:hAnsi="Arial" w:cs="Arial"/>
        </w:rPr>
        <w:t xml:space="preserve">. </w:t>
      </w:r>
      <w:r w:rsidR="00CC528D" w:rsidRPr="00B25E84">
        <w:rPr>
          <w:rFonts w:ascii="Arial" w:hAnsi="Arial" w:cs="Arial"/>
        </w:rPr>
        <w:t>As taxas foram baseadas na an</w:t>
      </w:r>
      <w:r w:rsidR="0084218A" w:rsidRPr="00B25E84">
        <w:rPr>
          <w:rFonts w:ascii="Arial" w:hAnsi="Arial" w:cs="Arial"/>
        </w:rPr>
        <w:t xml:space="preserve">álise histórica </w:t>
      </w:r>
      <w:r w:rsidR="005F4E0C" w:rsidRPr="00B25E84">
        <w:rPr>
          <w:rFonts w:ascii="Arial" w:hAnsi="Arial" w:cs="Arial"/>
        </w:rPr>
        <w:t xml:space="preserve">de recebimento </w:t>
      </w:r>
      <w:r w:rsidR="0043252F" w:rsidRPr="00B25E84">
        <w:rPr>
          <w:rFonts w:ascii="Arial" w:hAnsi="Arial" w:cs="Arial"/>
        </w:rPr>
        <w:t>de créditos</w:t>
      </w:r>
      <w:r w:rsidR="00350513" w:rsidRPr="00B25E84">
        <w:rPr>
          <w:rFonts w:ascii="Arial" w:hAnsi="Arial" w:cs="Arial"/>
        </w:rPr>
        <w:t xml:space="preserve"> da Companhia</w:t>
      </w:r>
      <w:r w:rsidR="0043252F" w:rsidRPr="00B25E84">
        <w:rPr>
          <w:rFonts w:ascii="Arial" w:hAnsi="Arial" w:cs="Arial"/>
        </w:rPr>
        <w:t xml:space="preserve">, aliada à experiencia dos profissionais que </w:t>
      </w:r>
      <w:r w:rsidR="00360B58" w:rsidRPr="00B25E84">
        <w:rPr>
          <w:rFonts w:ascii="Arial" w:hAnsi="Arial" w:cs="Arial"/>
        </w:rPr>
        <w:t xml:space="preserve">trabalham </w:t>
      </w:r>
      <w:r w:rsidR="000110A9" w:rsidRPr="00B25E84">
        <w:rPr>
          <w:rFonts w:ascii="Arial" w:hAnsi="Arial" w:cs="Arial"/>
        </w:rPr>
        <w:t>diretamente no recebimento</w:t>
      </w:r>
      <w:r w:rsidR="005F4E0C" w:rsidRPr="00B25E84">
        <w:rPr>
          <w:rFonts w:ascii="Arial" w:hAnsi="Arial" w:cs="Arial"/>
        </w:rPr>
        <w:t xml:space="preserve"> </w:t>
      </w:r>
      <w:r w:rsidR="009A7377" w:rsidRPr="00B25E84">
        <w:rPr>
          <w:rFonts w:ascii="Arial" w:hAnsi="Arial" w:cs="Arial"/>
        </w:rPr>
        <w:t>destes valores</w:t>
      </w:r>
      <w:r w:rsidR="00A211F0">
        <w:rPr>
          <w:rFonts w:ascii="Arial" w:hAnsi="Arial" w:cs="Arial"/>
        </w:rPr>
        <w:t>,</w:t>
      </w:r>
      <w:r w:rsidR="00EA78DB">
        <w:rPr>
          <w:rFonts w:ascii="Arial" w:hAnsi="Arial" w:cs="Arial"/>
        </w:rPr>
        <w:t xml:space="preserve"> </w:t>
      </w:r>
      <w:r w:rsidR="003E3806">
        <w:rPr>
          <w:rFonts w:ascii="Arial" w:hAnsi="Arial" w:cs="Arial"/>
        </w:rPr>
        <w:t xml:space="preserve">à análise técnica </w:t>
      </w:r>
      <w:r w:rsidR="00C1548A">
        <w:rPr>
          <w:rFonts w:ascii="Arial" w:hAnsi="Arial" w:cs="Arial"/>
        </w:rPr>
        <w:t>porme</w:t>
      </w:r>
      <w:r w:rsidR="00CC0361">
        <w:rPr>
          <w:rFonts w:ascii="Arial" w:hAnsi="Arial" w:cs="Arial"/>
        </w:rPr>
        <w:t xml:space="preserve">norizadas dos </w:t>
      </w:r>
      <w:r w:rsidR="004E2D56">
        <w:rPr>
          <w:rFonts w:ascii="Arial" w:hAnsi="Arial" w:cs="Arial"/>
        </w:rPr>
        <w:t>títulos</w:t>
      </w:r>
      <w:r w:rsidR="00A211F0">
        <w:rPr>
          <w:rFonts w:ascii="Arial" w:hAnsi="Arial" w:cs="Arial"/>
        </w:rPr>
        <w:t xml:space="preserve"> e</w:t>
      </w:r>
      <w:r w:rsidR="00A90FAF">
        <w:rPr>
          <w:rFonts w:ascii="Arial" w:hAnsi="Arial" w:cs="Arial"/>
        </w:rPr>
        <w:t xml:space="preserve"> à</w:t>
      </w:r>
      <w:r w:rsidR="00A211F0">
        <w:rPr>
          <w:rFonts w:ascii="Arial" w:hAnsi="Arial" w:cs="Arial"/>
        </w:rPr>
        <w:t xml:space="preserve"> análise de mercado</w:t>
      </w:r>
      <w:r w:rsidR="00B41F1C" w:rsidRPr="00B25E84">
        <w:rPr>
          <w:rFonts w:ascii="Arial" w:hAnsi="Arial" w:cs="Arial"/>
        </w:rPr>
        <w:t xml:space="preserve">. </w:t>
      </w:r>
      <w:r w:rsidR="007F0AB5" w:rsidRPr="00B25E84">
        <w:rPr>
          <w:rFonts w:ascii="Arial" w:hAnsi="Arial" w:cs="Arial"/>
        </w:rPr>
        <w:t xml:space="preserve">As taxas </w:t>
      </w:r>
      <w:r w:rsidR="008D4BAC" w:rsidRPr="00B25E84">
        <w:rPr>
          <w:rFonts w:ascii="Arial" w:hAnsi="Arial" w:cs="Arial"/>
        </w:rPr>
        <w:t xml:space="preserve">de provisão não foram segregadas por segmentos, uma vez que </w:t>
      </w:r>
      <w:r w:rsidR="00EE0E3F" w:rsidRPr="00B25E84">
        <w:rPr>
          <w:rFonts w:ascii="Arial" w:hAnsi="Arial" w:cs="Arial"/>
        </w:rPr>
        <w:t xml:space="preserve">se </w:t>
      </w:r>
      <w:r w:rsidR="008D4BAC" w:rsidRPr="00B25E84">
        <w:rPr>
          <w:rFonts w:ascii="Arial" w:hAnsi="Arial" w:cs="Arial"/>
        </w:rPr>
        <w:t>contatou que</w:t>
      </w:r>
      <w:r w:rsidR="007F0AB5" w:rsidRPr="00B25E84">
        <w:rPr>
          <w:rFonts w:ascii="Arial" w:hAnsi="Arial" w:cs="Arial"/>
        </w:rPr>
        <w:t xml:space="preserve"> </w:t>
      </w:r>
      <w:r w:rsidR="00847A47" w:rsidRPr="00B25E84">
        <w:rPr>
          <w:rFonts w:ascii="Arial" w:hAnsi="Arial" w:cs="Arial"/>
        </w:rPr>
        <w:t>a política de recebimen</w:t>
      </w:r>
      <w:r w:rsidR="005B789F" w:rsidRPr="00B25E84">
        <w:rPr>
          <w:rFonts w:ascii="Arial" w:hAnsi="Arial" w:cs="Arial"/>
        </w:rPr>
        <w:t>to de crédito é a mesma para todos os segmentos da Companhia, sendo irrelevante a divisão de taxas de provisão por segmento</w:t>
      </w:r>
      <w:r w:rsidR="00350513" w:rsidRPr="00B25E84">
        <w:rPr>
          <w:rFonts w:ascii="Arial" w:hAnsi="Arial" w:cs="Arial"/>
        </w:rPr>
        <w:t xml:space="preserve">. </w:t>
      </w:r>
      <w:r w:rsidRPr="00B25E84">
        <w:rPr>
          <w:rFonts w:ascii="Arial" w:hAnsi="Arial" w:cs="Arial"/>
        </w:rPr>
        <w:t>O cálculo reflete a</w:t>
      </w:r>
      <w:r w:rsidR="004D2FAB" w:rsidRPr="00B25E84">
        <w:rPr>
          <w:rFonts w:ascii="Arial" w:hAnsi="Arial" w:cs="Arial"/>
        </w:rPr>
        <w:t xml:space="preserve"> </w:t>
      </w:r>
      <w:r w:rsidRPr="00B25E84">
        <w:rPr>
          <w:rFonts w:ascii="Arial" w:hAnsi="Arial" w:cs="Arial"/>
        </w:rPr>
        <w:t xml:space="preserve">probabilidade ponderada de perda, </w:t>
      </w:r>
      <w:r w:rsidR="00C9331C" w:rsidRPr="00B25E84">
        <w:rPr>
          <w:rFonts w:ascii="Arial" w:hAnsi="Arial" w:cs="Arial"/>
        </w:rPr>
        <w:t>aplicando-se</w:t>
      </w:r>
      <w:r w:rsidR="00401090" w:rsidRPr="00B25E84">
        <w:rPr>
          <w:rFonts w:ascii="Arial" w:hAnsi="Arial" w:cs="Arial"/>
        </w:rPr>
        <w:t xml:space="preserve"> o</w:t>
      </w:r>
      <w:r w:rsidR="00C9331C" w:rsidRPr="00B25E84">
        <w:rPr>
          <w:rFonts w:ascii="Arial" w:hAnsi="Arial" w:cs="Arial"/>
        </w:rPr>
        <w:t xml:space="preserve"> </w:t>
      </w:r>
      <w:r w:rsidR="004326F0" w:rsidRPr="00B25E84">
        <w:rPr>
          <w:rFonts w:ascii="Arial" w:hAnsi="Arial" w:cs="Arial"/>
        </w:rPr>
        <w:t>índice</w:t>
      </w:r>
      <w:r w:rsidR="00C9331C" w:rsidRPr="00B25E84">
        <w:rPr>
          <w:rFonts w:ascii="Arial" w:hAnsi="Arial" w:cs="Arial"/>
        </w:rPr>
        <w:t xml:space="preserve"> de provisão</w:t>
      </w:r>
      <w:r w:rsidR="004326F0" w:rsidRPr="00B25E84">
        <w:rPr>
          <w:rFonts w:ascii="Arial" w:hAnsi="Arial" w:cs="Arial"/>
        </w:rPr>
        <w:t xml:space="preserve"> de perda</w:t>
      </w:r>
      <w:r w:rsidRPr="00B25E84">
        <w:rPr>
          <w:rFonts w:ascii="Arial" w:hAnsi="Arial" w:cs="Arial"/>
        </w:rPr>
        <w:t xml:space="preserve"> sobre </w:t>
      </w:r>
      <w:r w:rsidR="00A22078" w:rsidRPr="00B25E84">
        <w:rPr>
          <w:rFonts w:ascii="Arial" w:hAnsi="Arial" w:cs="Arial"/>
        </w:rPr>
        <w:t xml:space="preserve">o valor </w:t>
      </w:r>
      <w:r w:rsidR="00E71B92" w:rsidRPr="00B25E84">
        <w:rPr>
          <w:rFonts w:ascii="Arial" w:hAnsi="Arial" w:cs="Arial"/>
        </w:rPr>
        <w:t xml:space="preserve">dos créditos abertos </w:t>
      </w:r>
      <w:r w:rsidR="00C016B4" w:rsidRPr="00B25E84">
        <w:rPr>
          <w:rFonts w:ascii="Arial" w:hAnsi="Arial" w:cs="Arial"/>
        </w:rPr>
        <w:t>por categoria</w:t>
      </w:r>
      <w:r w:rsidR="005C592B" w:rsidRPr="00B25E84">
        <w:rPr>
          <w:rFonts w:ascii="Arial" w:hAnsi="Arial" w:cs="Arial"/>
        </w:rPr>
        <w:t>.</w:t>
      </w:r>
      <w:r w:rsidRPr="00B25E84">
        <w:rPr>
          <w:rFonts w:ascii="Arial" w:hAnsi="Arial" w:cs="Arial"/>
        </w:rPr>
        <w:t xml:space="preserve"> </w:t>
      </w:r>
      <w:r w:rsidR="0070464A" w:rsidRPr="00B25E84">
        <w:rPr>
          <w:rFonts w:ascii="Arial" w:hAnsi="Arial" w:cs="Arial"/>
        </w:rPr>
        <w:t>Vale ressaltar</w:t>
      </w:r>
      <w:r w:rsidR="00301402" w:rsidRPr="00B25E84">
        <w:rPr>
          <w:rFonts w:ascii="Arial" w:hAnsi="Arial" w:cs="Arial"/>
        </w:rPr>
        <w:t xml:space="preserve"> que </w:t>
      </w:r>
      <w:r w:rsidR="006D710C" w:rsidRPr="00B25E84">
        <w:rPr>
          <w:rFonts w:ascii="Arial" w:hAnsi="Arial" w:cs="Arial"/>
        </w:rPr>
        <w:t>foram descon</w:t>
      </w:r>
      <w:r w:rsidR="001F7314" w:rsidRPr="00B25E84">
        <w:rPr>
          <w:rFonts w:ascii="Arial" w:hAnsi="Arial" w:cs="Arial"/>
        </w:rPr>
        <w:t>sideradas as penalidades contratuais recuperáveis</w:t>
      </w:r>
      <w:r w:rsidR="007119F1" w:rsidRPr="00B25E84">
        <w:rPr>
          <w:rFonts w:ascii="Arial" w:hAnsi="Arial" w:cs="Arial"/>
        </w:rPr>
        <w:t xml:space="preserve">, </w:t>
      </w:r>
      <w:r w:rsidR="003A252F" w:rsidRPr="00B25E84">
        <w:rPr>
          <w:rFonts w:ascii="Arial" w:hAnsi="Arial" w:cs="Arial"/>
        </w:rPr>
        <w:t>devido à</w:t>
      </w:r>
      <w:r w:rsidR="00A8631E" w:rsidRPr="00B25E84">
        <w:rPr>
          <w:rFonts w:ascii="Arial" w:hAnsi="Arial" w:cs="Arial"/>
        </w:rPr>
        <w:t xml:space="preserve"> particu</w:t>
      </w:r>
      <w:r w:rsidR="007E3677" w:rsidRPr="00B25E84">
        <w:rPr>
          <w:rFonts w:ascii="Arial" w:hAnsi="Arial" w:cs="Arial"/>
        </w:rPr>
        <w:t>laridade desse tipo de</w:t>
      </w:r>
      <w:r w:rsidR="001F7314" w:rsidRPr="00B25E84">
        <w:rPr>
          <w:rFonts w:ascii="Arial" w:hAnsi="Arial" w:cs="Arial"/>
        </w:rPr>
        <w:t xml:space="preserve"> </w:t>
      </w:r>
      <w:r w:rsidR="0063269B" w:rsidRPr="00B25E84">
        <w:rPr>
          <w:rFonts w:ascii="Arial" w:hAnsi="Arial" w:cs="Arial"/>
        </w:rPr>
        <w:t>operação</w:t>
      </w:r>
      <w:r w:rsidR="00520C7C" w:rsidRPr="00B25E84">
        <w:rPr>
          <w:rFonts w:ascii="Arial" w:hAnsi="Arial" w:cs="Arial"/>
        </w:rPr>
        <w:t>, além d</w:t>
      </w:r>
      <w:r w:rsidR="00186B12" w:rsidRPr="00B25E84">
        <w:rPr>
          <w:rFonts w:ascii="Arial" w:hAnsi="Arial" w:cs="Arial"/>
        </w:rPr>
        <w:t xml:space="preserve">os créditos em abertos </w:t>
      </w:r>
      <w:r w:rsidR="00B27EE3" w:rsidRPr="00B25E84">
        <w:rPr>
          <w:rFonts w:ascii="Arial" w:hAnsi="Arial" w:cs="Arial"/>
        </w:rPr>
        <w:t>oriundos</w:t>
      </w:r>
      <w:r w:rsidR="00186B12" w:rsidRPr="00B25E84">
        <w:rPr>
          <w:rFonts w:ascii="Arial" w:hAnsi="Arial" w:cs="Arial"/>
        </w:rPr>
        <w:t xml:space="preserve"> de operações com a térmica</w:t>
      </w:r>
      <w:r w:rsidR="00196C41" w:rsidRPr="00B25E84">
        <w:rPr>
          <w:rFonts w:ascii="Arial" w:hAnsi="Arial" w:cs="Arial"/>
        </w:rPr>
        <w:t xml:space="preserve">, já que </w:t>
      </w:r>
      <w:r w:rsidR="0000027F" w:rsidRPr="00B25E84">
        <w:rPr>
          <w:rFonts w:ascii="Arial" w:hAnsi="Arial" w:cs="Arial"/>
        </w:rPr>
        <w:t>a probabilidade de perda advindo desse cliente é</w:t>
      </w:r>
      <w:r w:rsidR="0000027F">
        <w:rPr>
          <w:rFonts w:ascii="Arial" w:hAnsi="Arial" w:cs="Arial"/>
        </w:rPr>
        <w:t xml:space="preserve"> </w:t>
      </w:r>
      <w:r w:rsidR="0000027F" w:rsidRPr="00B25E84">
        <w:rPr>
          <w:rFonts w:ascii="Arial" w:hAnsi="Arial" w:cs="Arial"/>
        </w:rPr>
        <w:t>muito baixa.</w:t>
      </w:r>
      <w:r w:rsidR="007C0299">
        <w:rPr>
          <w:rFonts w:ascii="Arial" w:hAnsi="Arial" w:cs="Arial"/>
        </w:rPr>
        <w:t xml:space="preserve"> </w:t>
      </w:r>
      <w:r w:rsidRPr="00B25E84">
        <w:rPr>
          <w:rFonts w:ascii="Arial" w:hAnsi="Arial" w:cs="Arial"/>
        </w:rPr>
        <w:t>Abaixo, são apresentadas as informações sobre a exposição de crédito</w:t>
      </w:r>
      <w:r w:rsidR="007C0299">
        <w:rPr>
          <w:rFonts w:ascii="Arial" w:hAnsi="Arial" w:cs="Arial"/>
        </w:rPr>
        <w:t xml:space="preserve"> </w:t>
      </w:r>
      <w:r w:rsidRPr="00B25E84">
        <w:rPr>
          <w:rFonts w:ascii="Arial" w:hAnsi="Arial" w:cs="Arial"/>
        </w:rPr>
        <w:t xml:space="preserve">nas contas a receber </w:t>
      </w:r>
      <w:r w:rsidR="0060178D" w:rsidRPr="00B25E84">
        <w:rPr>
          <w:rFonts w:ascii="Arial" w:hAnsi="Arial" w:cs="Arial"/>
        </w:rPr>
        <w:t>da Companhia</w:t>
      </w:r>
      <w:r w:rsidR="00FB2178">
        <w:rPr>
          <w:rFonts w:ascii="Arial" w:hAnsi="Arial" w:cs="Arial"/>
        </w:rPr>
        <w:t xml:space="preserve"> em 31 de dezembro de 2019</w:t>
      </w:r>
      <w:r w:rsidRPr="00B25E84">
        <w:rPr>
          <w:rFonts w:ascii="Arial" w:hAnsi="Arial" w:cs="Arial"/>
        </w:rPr>
        <w:t>, utilizando-se de uma matriz</w:t>
      </w:r>
      <w:r w:rsidR="007C0299">
        <w:rPr>
          <w:rFonts w:ascii="Arial" w:hAnsi="Arial" w:cs="Arial"/>
        </w:rPr>
        <w:t xml:space="preserve"> </w:t>
      </w:r>
      <w:r w:rsidRPr="00B25E84">
        <w:rPr>
          <w:rFonts w:ascii="Arial" w:hAnsi="Arial" w:cs="Arial"/>
        </w:rPr>
        <w:t>de provisão</w:t>
      </w:r>
      <w:r w:rsidR="00661D2A">
        <w:rPr>
          <w:rFonts w:ascii="Arial" w:hAnsi="Arial" w:cs="Arial"/>
        </w:rPr>
        <w:t xml:space="preserve">. </w:t>
      </w:r>
    </w:p>
    <w:p w14:paraId="268172D6" w14:textId="77777777" w:rsidR="00033966" w:rsidRPr="00B25E84" w:rsidRDefault="00033966" w:rsidP="000F37C3">
      <w:pPr>
        <w:jc w:val="both"/>
        <w:rPr>
          <w:rFonts w:ascii="Arial" w:hAnsi="Arial" w:cs="Arial"/>
        </w:rPr>
      </w:pPr>
    </w:p>
    <w:tbl>
      <w:tblPr>
        <w:tblStyle w:val="Tabelacomgrade"/>
        <w:tblW w:w="0" w:type="auto"/>
        <w:tblLayout w:type="fixed"/>
        <w:tblLook w:val="0000" w:firstRow="0" w:lastRow="0" w:firstColumn="0" w:lastColumn="0" w:noHBand="0" w:noVBand="0"/>
      </w:tblPr>
      <w:tblGrid>
        <w:gridCol w:w="3446"/>
        <w:gridCol w:w="1086"/>
        <w:gridCol w:w="1209"/>
        <w:gridCol w:w="1642"/>
        <w:gridCol w:w="1678"/>
      </w:tblGrid>
      <w:tr w:rsidR="00910ADB" w14:paraId="2CC45494" w14:textId="77777777" w:rsidTr="00BF1B22">
        <w:trPr>
          <w:trHeight w:val="559"/>
        </w:trPr>
        <w:tc>
          <w:tcPr>
            <w:tcW w:w="3446" w:type="dxa"/>
            <w:shd w:val="clear" w:color="auto" w:fill="D0CECE" w:themeFill="background2" w:themeFillShade="E6"/>
          </w:tcPr>
          <w:p w14:paraId="1EAB964B" w14:textId="5273808E" w:rsidR="00910ADB" w:rsidRPr="00BF1B22" w:rsidRDefault="00CC08E9" w:rsidP="00B749D9">
            <w:pPr>
              <w:autoSpaceDE w:val="0"/>
              <w:autoSpaceDN w:val="0"/>
              <w:adjustRightInd w:val="0"/>
              <w:spacing w:after="0"/>
              <w:jc w:val="center"/>
              <w:rPr>
                <w:rFonts w:ascii="Arial" w:hAnsi="Arial" w:cs="Arial"/>
                <w:b/>
                <w:sz w:val="20"/>
                <w:szCs w:val="20"/>
              </w:rPr>
            </w:pPr>
            <w:r w:rsidRPr="00BF1B22">
              <w:rPr>
                <w:rFonts w:ascii="Arial" w:hAnsi="Arial" w:cs="Arial"/>
                <w:b/>
                <w:sz w:val="20"/>
                <w:szCs w:val="20"/>
              </w:rPr>
              <w:t xml:space="preserve">Classificação dos créditos por </w:t>
            </w:r>
            <w:r w:rsidR="00946A5A" w:rsidRPr="00BF1B22">
              <w:rPr>
                <w:rFonts w:ascii="Arial" w:hAnsi="Arial" w:cs="Arial"/>
                <w:b/>
                <w:sz w:val="20"/>
                <w:szCs w:val="20"/>
              </w:rPr>
              <w:t>data de vencimento</w:t>
            </w:r>
          </w:p>
        </w:tc>
        <w:tc>
          <w:tcPr>
            <w:tcW w:w="1086" w:type="dxa"/>
            <w:shd w:val="clear" w:color="auto" w:fill="D0CECE" w:themeFill="background2" w:themeFillShade="E6"/>
          </w:tcPr>
          <w:p w14:paraId="37B18367" w14:textId="172DFFDC" w:rsidR="00910ADB" w:rsidRPr="00BF1B22" w:rsidRDefault="00910ADB" w:rsidP="00BF1B22">
            <w:pPr>
              <w:autoSpaceDE w:val="0"/>
              <w:autoSpaceDN w:val="0"/>
              <w:adjustRightInd w:val="0"/>
              <w:spacing w:after="0"/>
              <w:jc w:val="both"/>
              <w:rPr>
                <w:rFonts w:ascii="Arial" w:hAnsi="Arial" w:cs="Arial"/>
                <w:b/>
                <w:sz w:val="20"/>
                <w:szCs w:val="20"/>
              </w:rPr>
            </w:pPr>
            <w:r w:rsidRPr="00BF1B22">
              <w:rPr>
                <w:rFonts w:ascii="Arial" w:hAnsi="Arial" w:cs="Arial"/>
                <w:b/>
                <w:sz w:val="20"/>
                <w:szCs w:val="20"/>
              </w:rPr>
              <w:t xml:space="preserve">a vencer </w:t>
            </w:r>
          </w:p>
        </w:tc>
        <w:tc>
          <w:tcPr>
            <w:tcW w:w="1209" w:type="dxa"/>
            <w:shd w:val="clear" w:color="auto" w:fill="D0CECE" w:themeFill="background2" w:themeFillShade="E6"/>
          </w:tcPr>
          <w:p w14:paraId="300ADD30" w14:textId="708C5039" w:rsidR="00910ADB" w:rsidRPr="00BF1B22" w:rsidRDefault="00910ADB" w:rsidP="00BF1B22">
            <w:pPr>
              <w:autoSpaceDE w:val="0"/>
              <w:autoSpaceDN w:val="0"/>
              <w:adjustRightInd w:val="0"/>
              <w:spacing w:after="0"/>
              <w:jc w:val="both"/>
              <w:rPr>
                <w:rFonts w:ascii="Arial" w:hAnsi="Arial" w:cs="Arial"/>
                <w:b/>
                <w:sz w:val="20"/>
                <w:szCs w:val="20"/>
              </w:rPr>
            </w:pPr>
            <w:r w:rsidRPr="00BF1B22">
              <w:rPr>
                <w:rFonts w:ascii="Arial" w:hAnsi="Arial" w:cs="Arial"/>
                <w:b/>
                <w:sz w:val="20"/>
                <w:szCs w:val="20"/>
              </w:rPr>
              <w:t xml:space="preserve">Até </w:t>
            </w:r>
            <w:r w:rsidR="00416EF1" w:rsidRPr="00BF1B22">
              <w:rPr>
                <w:rFonts w:ascii="Arial" w:hAnsi="Arial" w:cs="Arial"/>
                <w:b/>
                <w:sz w:val="20"/>
                <w:szCs w:val="20"/>
              </w:rPr>
              <w:t>30</w:t>
            </w:r>
            <w:r w:rsidR="00B749D9">
              <w:rPr>
                <w:rFonts w:ascii="Arial" w:hAnsi="Arial" w:cs="Arial"/>
                <w:b/>
                <w:sz w:val="20"/>
                <w:szCs w:val="20"/>
              </w:rPr>
              <w:t xml:space="preserve"> </w:t>
            </w:r>
            <w:r w:rsidR="00416EF1" w:rsidRPr="00BF1B22">
              <w:rPr>
                <w:rFonts w:ascii="Arial" w:hAnsi="Arial" w:cs="Arial"/>
                <w:b/>
                <w:sz w:val="20"/>
                <w:szCs w:val="20"/>
              </w:rPr>
              <w:t>dias</w:t>
            </w:r>
          </w:p>
        </w:tc>
        <w:tc>
          <w:tcPr>
            <w:tcW w:w="1642" w:type="dxa"/>
            <w:shd w:val="clear" w:color="auto" w:fill="D0CECE" w:themeFill="background2" w:themeFillShade="E6"/>
          </w:tcPr>
          <w:p w14:paraId="2BD43AF4" w14:textId="394FDCE4" w:rsidR="00910ADB" w:rsidRPr="00BF1B22" w:rsidRDefault="008E328C" w:rsidP="00BF1B22">
            <w:pPr>
              <w:autoSpaceDE w:val="0"/>
              <w:autoSpaceDN w:val="0"/>
              <w:adjustRightInd w:val="0"/>
              <w:spacing w:after="0"/>
              <w:jc w:val="both"/>
              <w:rPr>
                <w:rFonts w:ascii="Arial" w:hAnsi="Arial" w:cs="Arial"/>
                <w:b/>
                <w:sz w:val="20"/>
                <w:szCs w:val="20"/>
              </w:rPr>
            </w:pPr>
            <w:r w:rsidRPr="00BF1B22">
              <w:rPr>
                <w:rFonts w:ascii="Arial" w:hAnsi="Arial" w:cs="Arial"/>
                <w:b/>
                <w:sz w:val="20"/>
                <w:szCs w:val="20"/>
              </w:rPr>
              <w:t xml:space="preserve">Entre 30 e 365 dias </w:t>
            </w:r>
          </w:p>
        </w:tc>
        <w:tc>
          <w:tcPr>
            <w:tcW w:w="1678" w:type="dxa"/>
            <w:shd w:val="clear" w:color="auto" w:fill="D0CECE" w:themeFill="background2" w:themeFillShade="E6"/>
          </w:tcPr>
          <w:p w14:paraId="07E6652E" w14:textId="15C57CCC" w:rsidR="00910ADB" w:rsidRPr="00BF1B22" w:rsidRDefault="008E328C" w:rsidP="00BF1B22">
            <w:pPr>
              <w:autoSpaceDE w:val="0"/>
              <w:autoSpaceDN w:val="0"/>
              <w:adjustRightInd w:val="0"/>
              <w:spacing w:after="0"/>
              <w:jc w:val="both"/>
              <w:rPr>
                <w:rFonts w:ascii="Arial" w:hAnsi="Arial" w:cs="Arial"/>
                <w:b/>
                <w:sz w:val="20"/>
                <w:szCs w:val="20"/>
              </w:rPr>
            </w:pPr>
            <w:r w:rsidRPr="00BF1B22">
              <w:rPr>
                <w:rFonts w:ascii="Arial" w:hAnsi="Arial" w:cs="Arial"/>
                <w:b/>
                <w:sz w:val="20"/>
                <w:szCs w:val="20"/>
              </w:rPr>
              <w:t xml:space="preserve">Maior que 365 dias </w:t>
            </w:r>
          </w:p>
        </w:tc>
      </w:tr>
      <w:tr w:rsidR="00910ADB" w:rsidRPr="00B749D9" w14:paraId="282FFEA7" w14:textId="77777777" w:rsidTr="005D2DC9">
        <w:tc>
          <w:tcPr>
            <w:tcW w:w="3446" w:type="dxa"/>
          </w:tcPr>
          <w:p w14:paraId="6672D8E7" w14:textId="74FDEF91" w:rsidR="00910ADB" w:rsidRPr="00B749D9" w:rsidRDefault="002858DA" w:rsidP="00BF1B22">
            <w:pPr>
              <w:autoSpaceDE w:val="0"/>
              <w:autoSpaceDN w:val="0"/>
              <w:adjustRightInd w:val="0"/>
              <w:spacing w:after="0"/>
              <w:jc w:val="both"/>
              <w:rPr>
                <w:rFonts w:ascii="Arial" w:hAnsi="Arial" w:cs="Arial"/>
                <w:bCs/>
                <w:sz w:val="20"/>
                <w:szCs w:val="20"/>
              </w:rPr>
            </w:pPr>
            <w:r w:rsidRPr="00B749D9">
              <w:rPr>
                <w:rFonts w:ascii="Arial" w:hAnsi="Arial" w:cs="Arial"/>
                <w:bCs/>
                <w:sz w:val="20"/>
                <w:szCs w:val="20"/>
              </w:rPr>
              <w:t xml:space="preserve">Valor total </w:t>
            </w:r>
            <w:r w:rsidR="00912757" w:rsidRPr="00B749D9">
              <w:rPr>
                <w:rFonts w:ascii="Arial" w:hAnsi="Arial" w:cs="Arial"/>
                <w:bCs/>
                <w:sz w:val="20"/>
                <w:szCs w:val="20"/>
              </w:rPr>
              <w:t xml:space="preserve">a receber </w:t>
            </w:r>
          </w:p>
        </w:tc>
        <w:tc>
          <w:tcPr>
            <w:tcW w:w="1086" w:type="dxa"/>
          </w:tcPr>
          <w:p w14:paraId="5EF80329" w14:textId="79A9CDA7" w:rsidR="00910ADB" w:rsidRPr="00B749D9" w:rsidRDefault="007F4F96" w:rsidP="000D1AF1">
            <w:pPr>
              <w:autoSpaceDE w:val="0"/>
              <w:autoSpaceDN w:val="0"/>
              <w:adjustRightInd w:val="0"/>
              <w:spacing w:after="0"/>
              <w:jc w:val="center"/>
              <w:rPr>
                <w:rFonts w:ascii="Arial" w:hAnsi="Arial" w:cs="Arial"/>
                <w:bCs/>
                <w:sz w:val="20"/>
                <w:szCs w:val="20"/>
              </w:rPr>
            </w:pPr>
            <w:r w:rsidRPr="00B749D9">
              <w:rPr>
                <w:rFonts w:ascii="Arial" w:hAnsi="Arial" w:cs="Arial"/>
                <w:bCs/>
                <w:sz w:val="20"/>
                <w:szCs w:val="20"/>
              </w:rPr>
              <w:t>20.973</w:t>
            </w:r>
          </w:p>
        </w:tc>
        <w:tc>
          <w:tcPr>
            <w:tcW w:w="1209" w:type="dxa"/>
          </w:tcPr>
          <w:p w14:paraId="6B9E35A7" w14:textId="16009136" w:rsidR="00910ADB" w:rsidRPr="00B749D9" w:rsidRDefault="007F4F96" w:rsidP="000D1AF1">
            <w:pPr>
              <w:autoSpaceDE w:val="0"/>
              <w:autoSpaceDN w:val="0"/>
              <w:adjustRightInd w:val="0"/>
              <w:spacing w:after="0"/>
              <w:jc w:val="center"/>
              <w:rPr>
                <w:rFonts w:ascii="Arial" w:hAnsi="Arial" w:cs="Arial"/>
                <w:bCs/>
                <w:sz w:val="20"/>
                <w:szCs w:val="20"/>
              </w:rPr>
            </w:pPr>
            <w:r w:rsidRPr="00B749D9">
              <w:rPr>
                <w:rFonts w:ascii="Arial" w:hAnsi="Arial" w:cs="Arial"/>
                <w:bCs/>
                <w:sz w:val="20"/>
                <w:szCs w:val="20"/>
              </w:rPr>
              <w:t>1.620</w:t>
            </w:r>
          </w:p>
        </w:tc>
        <w:tc>
          <w:tcPr>
            <w:tcW w:w="1642" w:type="dxa"/>
          </w:tcPr>
          <w:p w14:paraId="2F7D27E1" w14:textId="380DD73F" w:rsidR="00910ADB" w:rsidRPr="00B749D9" w:rsidRDefault="00A30452" w:rsidP="000D1AF1">
            <w:pPr>
              <w:autoSpaceDE w:val="0"/>
              <w:autoSpaceDN w:val="0"/>
              <w:adjustRightInd w:val="0"/>
              <w:spacing w:after="0"/>
              <w:jc w:val="center"/>
              <w:rPr>
                <w:rFonts w:ascii="Arial" w:hAnsi="Arial" w:cs="Arial"/>
                <w:bCs/>
                <w:sz w:val="20"/>
                <w:szCs w:val="20"/>
              </w:rPr>
            </w:pPr>
            <w:r w:rsidRPr="00B749D9">
              <w:rPr>
                <w:rFonts w:ascii="Arial" w:hAnsi="Arial" w:cs="Arial"/>
                <w:bCs/>
                <w:sz w:val="20"/>
                <w:szCs w:val="20"/>
              </w:rPr>
              <w:t>404</w:t>
            </w:r>
          </w:p>
        </w:tc>
        <w:tc>
          <w:tcPr>
            <w:tcW w:w="1678" w:type="dxa"/>
          </w:tcPr>
          <w:p w14:paraId="6F6F9EE7" w14:textId="6F50DB30" w:rsidR="00910ADB" w:rsidRPr="00B749D9" w:rsidRDefault="00FD3924" w:rsidP="000D1AF1">
            <w:pPr>
              <w:autoSpaceDE w:val="0"/>
              <w:autoSpaceDN w:val="0"/>
              <w:adjustRightInd w:val="0"/>
              <w:spacing w:after="0"/>
              <w:jc w:val="center"/>
              <w:rPr>
                <w:rFonts w:ascii="Arial" w:hAnsi="Arial" w:cs="Arial"/>
                <w:bCs/>
                <w:sz w:val="20"/>
                <w:szCs w:val="20"/>
              </w:rPr>
            </w:pPr>
            <w:r w:rsidRPr="00B749D9">
              <w:rPr>
                <w:rFonts w:ascii="Arial" w:hAnsi="Arial" w:cs="Arial"/>
                <w:bCs/>
                <w:sz w:val="20"/>
                <w:szCs w:val="20"/>
              </w:rPr>
              <w:t>2.043</w:t>
            </w:r>
          </w:p>
        </w:tc>
      </w:tr>
      <w:tr w:rsidR="006C2FCD" w:rsidRPr="00B749D9" w14:paraId="591D0984" w14:textId="77777777" w:rsidTr="005D2DC9">
        <w:tc>
          <w:tcPr>
            <w:tcW w:w="3446" w:type="dxa"/>
          </w:tcPr>
          <w:p w14:paraId="1C0E69E7" w14:textId="45E04E16" w:rsidR="006C2FCD" w:rsidRPr="00B749D9" w:rsidRDefault="006C2FCD" w:rsidP="006C2FCD">
            <w:pPr>
              <w:autoSpaceDE w:val="0"/>
              <w:autoSpaceDN w:val="0"/>
              <w:adjustRightInd w:val="0"/>
              <w:spacing w:after="0"/>
              <w:jc w:val="both"/>
              <w:rPr>
                <w:rFonts w:ascii="Arial" w:hAnsi="Arial" w:cs="Arial"/>
                <w:bCs/>
                <w:sz w:val="20"/>
                <w:szCs w:val="20"/>
              </w:rPr>
            </w:pPr>
            <w:r w:rsidRPr="00B749D9">
              <w:rPr>
                <w:rFonts w:ascii="Arial" w:hAnsi="Arial" w:cs="Arial"/>
                <w:bCs/>
                <w:sz w:val="20"/>
                <w:szCs w:val="20"/>
              </w:rPr>
              <w:t>Índice de perda de crédito esperada</w:t>
            </w:r>
          </w:p>
        </w:tc>
        <w:tc>
          <w:tcPr>
            <w:tcW w:w="1086" w:type="dxa"/>
          </w:tcPr>
          <w:p w14:paraId="7001914A" w14:textId="66CFC4B4" w:rsidR="006C2FCD" w:rsidRPr="00B749D9" w:rsidRDefault="006C2FCD" w:rsidP="006C2FCD">
            <w:pPr>
              <w:autoSpaceDE w:val="0"/>
              <w:autoSpaceDN w:val="0"/>
              <w:adjustRightInd w:val="0"/>
              <w:spacing w:after="0"/>
              <w:jc w:val="center"/>
              <w:rPr>
                <w:rFonts w:ascii="Arial" w:hAnsi="Arial" w:cs="Arial"/>
                <w:bCs/>
                <w:sz w:val="20"/>
                <w:szCs w:val="20"/>
              </w:rPr>
            </w:pPr>
            <w:r w:rsidRPr="00B749D9">
              <w:rPr>
                <w:rFonts w:ascii="Arial" w:hAnsi="Arial" w:cs="Arial"/>
                <w:bCs/>
                <w:sz w:val="20"/>
                <w:szCs w:val="20"/>
              </w:rPr>
              <w:t>0,0074%</w:t>
            </w:r>
          </w:p>
        </w:tc>
        <w:tc>
          <w:tcPr>
            <w:tcW w:w="1209" w:type="dxa"/>
          </w:tcPr>
          <w:p w14:paraId="072FC3F0" w14:textId="4BBA1B16" w:rsidR="006C2FCD" w:rsidRPr="00B749D9" w:rsidRDefault="006C2FCD" w:rsidP="006C2FCD">
            <w:pPr>
              <w:autoSpaceDE w:val="0"/>
              <w:autoSpaceDN w:val="0"/>
              <w:adjustRightInd w:val="0"/>
              <w:spacing w:after="0"/>
              <w:jc w:val="center"/>
              <w:rPr>
                <w:rFonts w:ascii="Arial" w:hAnsi="Arial" w:cs="Arial"/>
                <w:bCs/>
                <w:sz w:val="20"/>
                <w:szCs w:val="20"/>
              </w:rPr>
            </w:pPr>
            <w:r w:rsidRPr="00B749D9">
              <w:rPr>
                <w:rFonts w:ascii="Arial" w:hAnsi="Arial" w:cs="Arial"/>
                <w:bCs/>
                <w:sz w:val="20"/>
                <w:szCs w:val="20"/>
              </w:rPr>
              <w:t>0,1277%</w:t>
            </w:r>
          </w:p>
        </w:tc>
        <w:tc>
          <w:tcPr>
            <w:tcW w:w="1642" w:type="dxa"/>
          </w:tcPr>
          <w:p w14:paraId="4E7C91FF" w14:textId="3DADF1D6" w:rsidR="006C2FCD" w:rsidRPr="00B749D9" w:rsidRDefault="006C2FCD" w:rsidP="006C2FCD">
            <w:pPr>
              <w:autoSpaceDE w:val="0"/>
              <w:autoSpaceDN w:val="0"/>
              <w:adjustRightInd w:val="0"/>
              <w:spacing w:after="0"/>
              <w:jc w:val="center"/>
              <w:rPr>
                <w:rFonts w:ascii="Arial" w:hAnsi="Arial" w:cs="Arial"/>
                <w:bCs/>
                <w:sz w:val="20"/>
                <w:szCs w:val="20"/>
              </w:rPr>
            </w:pPr>
            <w:r w:rsidRPr="00B749D9">
              <w:rPr>
                <w:rFonts w:ascii="Arial" w:hAnsi="Arial" w:cs="Arial"/>
                <w:bCs/>
                <w:sz w:val="20"/>
                <w:szCs w:val="20"/>
              </w:rPr>
              <w:t>12,3542%</w:t>
            </w:r>
          </w:p>
        </w:tc>
        <w:tc>
          <w:tcPr>
            <w:tcW w:w="1678" w:type="dxa"/>
          </w:tcPr>
          <w:p w14:paraId="1BF9CC3D" w14:textId="55236639" w:rsidR="006C2FCD" w:rsidRPr="00B749D9" w:rsidRDefault="006C2FCD" w:rsidP="006C2FCD">
            <w:pPr>
              <w:autoSpaceDE w:val="0"/>
              <w:autoSpaceDN w:val="0"/>
              <w:adjustRightInd w:val="0"/>
              <w:spacing w:after="0"/>
              <w:jc w:val="center"/>
              <w:rPr>
                <w:rFonts w:ascii="Arial" w:hAnsi="Arial" w:cs="Arial"/>
                <w:bCs/>
                <w:sz w:val="20"/>
                <w:szCs w:val="20"/>
              </w:rPr>
            </w:pPr>
            <w:r w:rsidRPr="00B749D9">
              <w:rPr>
                <w:rFonts w:ascii="Arial" w:hAnsi="Arial" w:cs="Arial"/>
                <w:bCs/>
                <w:sz w:val="20"/>
                <w:szCs w:val="20"/>
              </w:rPr>
              <w:t>94,9922%</w:t>
            </w:r>
          </w:p>
        </w:tc>
      </w:tr>
      <w:tr w:rsidR="006C2FCD" w:rsidRPr="00B749D9" w14:paraId="6BD959CF" w14:textId="77777777" w:rsidTr="005D2DC9">
        <w:tc>
          <w:tcPr>
            <w:tcW w:w="3446" w:type="dxa"/>
          </w:tcPr>
          <w:p w14:paraId="54491486" w14:textId="2530401F" w:rsidR="006C2FCD" w:rsidRPr="00B749D9" w:rsidRDefault="006C2FCD" w:rsidP="006C2FCD">
            <w:pPr>
              <w:autoSpaceDE w:val="0"/>
              <w:autoSpaceDN w:val="0"/>
              <w:adjustRightInd w:val="0"/>
              <w:spacing w:after="0"/>
              <w:jc w:val="both"/>
              <w:rPr>
                <w:rFonts w:ascii="Arial" w:hAnsi="Arial" w:cs="Arial"/>
                <w:b/>
                <w:sz w:val="20"/>
                <w:szCs w:val="20"/>
              </w:rPr>
            </w:pPr>
            <w:r w:rsidRPr="00B749D9">
              <w:rPr>
                <w:rFonts w:ascii="Arial" w:hAnsi="Arial" w:cs="Arial"/>
                <w:b/>
                <w:sz w:val="20"/>
                <w:szCs w:val="20"/>
              </w:rPr>
              <w:t xml:space="preserve">Perda de crédito esperada </w:t>
            </w:r>
          </w:p>
        </w:tc>
        <w:tc>
          <w:tcPr>
            <w:tcW w:w="1086" w:type="dxa"/>
          </w:tcPr>
          <w:p w14:paraId="12A539F1" w14:textId="471A28DA" w:rsidR="006C2FCD" w:rsidRPr="00B749D9" w:rsidRDefault="006C2FCD" w:rsidP="006C2FCD">
            <w:pPr>
              <w:autoSpaceDE w:val="0"/>
              <w:autoSpaceDN w:val="0"/>
              <w:adjustRightInd w:val="0"/>
              <w:spacing w:after="0"/>
              <w:jc w:val="center"/>
              <w:rPr>
                <w:rFonts w:ascii="Arial" w:hAnsi="Arial" w:cs="Arial"/>
                <w:b/>
                <w:sz w:val="20"/>
                <w:szCs w:val="20"/>
              </w:rPr>
            </w:pPr>
            <w:r w:rsidRPr="00B749D9">
              <w:rPr>
                <w:rFonts w:ascii="Arial" w:hAnsi="Arial" w:cs="Arial"/>
                <w:b/>
                <w:sz w:val="20"/>
                <w:szCs w:val="20"/>
              </w:rPr>
              <w:t>2</w:t>
            </w:r>
          </w:p>
        </w:tc>
        <w:tc>
          <w:tcPr>
            <w:tcW w:w="1209" w:type="dxa"/>
          </w:tcPr>
          <w:p w14:paraId="67AC7D2F" w14:textId="519DFFFF" w:rsidR="006C2FCD" w:rsidRPr="00B749D9" w:rsidRDefault="006C2FCD" w:rsidP="006C2FCD">
            <w:pPr>
              <w:autoSpaceDE w:val="0"/>
              <w:autoSpaceDN w:val="0"/>
              <w:adjustRightInd w:val="0"/>
              <w:spacing w:after="0"/>
              <w:jc w:val="center"/>
              <w:rPr>
                <w:rFonts w:ascii="Arial" w:hAnsi="Arial" w:cs="Arial"/>
                <w:b/>
                <w:sz w:val="20"/>
                <w:szCs w:val="20"/>
              </w:rPr>
            </w:pPr>
            <w:r w:rsidRPr="00B749D9">
              <w:rPr>
                <w:rFonts w:ascii="Arial" w:hAnsi="Arial" w:cs="Arial"/>
                <w:b/>
                <w:sz w:val="20"/>
                <w:szCs w:val="20"/>
              </w:rPr>
              <w:t>2</w:t>
            </w:r>
          </w:p>
        </w:tc>
        <w:tc>
          <w:tcPr>
            <w:tcW w:w="1642" w:type="dxa"/>
          </w:tcPr>
          <w:p w14:paraId="5F4B5B79" w14:textId="553E36EC" w:rsidR="006C2FCD" w:rsidRPr="00B749D9" w:rsidRDefault="006C2FCD" w:rsidP="006C2FCD">
            <w:pPr>
              <w:autoSpaceDE w:val="0"/>
              <w:autoSpaceDN w:val="0"/>
              <w:adjustRightInd w:val="0"/>
              <w:spacing w:after="0"/>
              <w:jc w:val="center"/>
              <w:rPr>
                <w:rFonts w:ascii="Arial" w:hAnsi="Arial" w:cs="Arial"/>
                <w:b/>
                <w:sz w:val="20"/>
                <w:szCs w:val="20"/>
              </w:rPr>
            </w:pPr>
            <w:r w:rsidRPr="00B749D9">
              <w:rPr>
                <w:rFonts w:ascii="Arial" w:hAnsi="Arial" w:cs="Arial"/>
                <w:b/>
                <w:sz w:val="20"/>
                <w:szCs w:val="20"/>
              </w:rPr>
              <w:t>50</w:t>
            </w:r>
          </w:p>
        </w:tc>
        <w:tc>
          <w:tcPr>
            <w:tcW w:w="1678" w:type="dxa"/>
          </w:tcPr>
          <w:p w14:paraId="69012445" w14:textId="1159774B" w:rsidR="006C2FCD" w:rsidRPr="00B749D9" w:rsidRDefault="006C2FCD" w:rsidP="006C2FCD">
            <w:pPr>
              <w:autoSpaceDE w:val="0"/>
              <w:autoSpaceDN w:val="0"/>
              <w:adjustRightInd w:val="0"/>
              <w:spacing w:after="0"/>
              <w:jc w:val="center"/>
              <w:rPr>
                <w:rFonts w:ascii="Arial" w:hAnsi="Arial" w:cs="Arial"/>
                <w:b/>
                <w:sz w:val="20"/>
                <w:szCs w:val="20"/>
              </w:rPr>
            </w:pPr>
            <w:r w:rsidRPr="00B749D9">
              <w:rPr>
                <w:rFonts w:ascii="Arial" w:hAnsi="Arial" w:cs="Arial"/>
                <w:b/>
                <w:sz w:val="20"/>
                <w:szCs w:val="20"/>
              </w:rPr>
              <w:t>1.94</w:t>
            </w:r>
            <w:r w:rsidR="008D3D84" w:rsidRPr="00B749D9">
              <w:rPr>
                <w:rFonts w:ascii="Arial" w:hAnsi="Arial" w:cs="Arial"/>
                <w:b/>
                <w:sz w:val="20"/>
                <w:szCs w:val="20"/>
              </w:rPr>
              <w:t>0</w:t>
            </w:r>
          </w:p>
        </w:tc>
      </w:tr>
    </w:tbl>
    <w:p w14:paraId="4EDD181C" w14:textId="0092EBDA" w:rsidR="00D4477E" w:rsidRPr="00D4477E" w:rsidRDefault="00D4477E" w:rsidP="00D4477E">
      <w:pPr>
        <w:autoSpaceDE w:val="0"/>
        <w:autoSpaceDN w:val="0"/>
        <w:adjustRightInd w:val="0"/>
        <w:jc w:val="both"/>
        <w:rPr>
          <w:rFonts w:ascii="Arial" w:hAnsi="Arial" w:cs="Arial"/>
        </w:rPr>
      </w:pPr>
    </w:p>
    <w:p w14:paraId="7E7F6595" w14:textId="4F1F4492" w:rsidR="00A04FED" w:rsidRDefault="007B7A8A" w:rsidP="00A04FED">
      <w:pPr>
        <w:autoSpaceDE w:val="0"/>
        <w:autoSpaceDN w:val="0"/>
        <w:adjustRightInd w:val="0"/>
        <w:jc w:val="both"/>
        <w:rPr>
          <w:rFonts w:ascii="Arial" w:hAnsi="Arial" w:cs="Arial"/>
          <w:b/>
        </w:rPr>
      </w:pPr>
      <w:r w:rsidRPr="003234C5">
        <w:rPr>
          <w:rFonts w:ascii="Arial" w:hAnsi="Arial" w:cs="Arial"/>
          <w:b/>
        </w:rPr>
        <w:t xml:space="preserve"> </w:t>
      </w:r>
      <w:r w:rsidR="00A04FED" w:rsidRPr="003234C5">
        <w:rPr>
          <w:rFonts w:ascii="Arial" w:hAnsi="Arial" w:cs="Arial"/>
          <w:b/>
        </w:rPr>
        <w:t>(</w:t>
      </w:r>
      <w:proofErr w:type="spellStart"/>
      <w:r w:rsidR="00A04FED" w:rsidRPr="003234C5">
        <w:rPr>
          <w:rFonts w:ascii="Arial" w:hAnsi="Arial" w:cs="Arial"/>
          <w:b/>
        </w:rPr>
        <w:t>iii</w:t>
      </w:r>
      <w:proofErr w:type="spellEnd"/>
      <w:r w:rsidR="00A04FED" w:rsidRPr="003234C5">
        <w:rPr>
          <w:rFonts w:ascii="Arial" w:hAnsi="Arial" w:cs="Arial"/>
          <w:b/>
        </w:rPr>
        <w:t>) Risco de liquidez</w:t>
      </w:r>
    </w:p>
    <w:p w14:paraId="7D968427" w14:textId="77777777" w:rsidR="00033966" w:rsidRPr="003234C5" w:rsidRDefault="00033966" w:rsidP="00A04FED">
      <w:pPr>
        <w:autoSpaceDE w:val="0"/>
        <w:autoSpaceDN w:val="0"/>
        <w:adjustRightInd w:val="0"/>
        <w:jc w:val="both"/>
        <w:rPr>
          <w:rFonts w:ascii="Arial" w:hAnsi="Arial" w:cs="Arial"/>
          <w:b/>
        </w:rPr>
      </w:pPr>
    </w:p>
    <w:p w14:paraId="5147F175" w14:textId="77777777" w:rsidR="0025678B" w:rsidRPr="003234C5" w:rsidRDefault="00A04FED" w:rsidP="00A04FED">
      <w:pPr>
        <w:autoSpaceDE w:val="0"/>
        <w:autoSpaceDN w:val="0"/>
        <w:adjustRightInd w:val="0"/>
        <w:jc w:val="both"/>
        <w:rPr>
          <w:rFonts w:ascii="Arial" w:hAnsi="Arial" w:cs="Arial"/>
        </w:rPr>
      </w:pPr>
      <w:r w:rsidRPr="003234C5">
        <w:rPr>
          <w:rFonts w:ascii="Arial" w:hAnsi="Arial" w:cs="Arial"/>
        </w:rPr>
        <w:t xml:space="preserve">Risco de liquidez é o risco de que </w:t>
      </w:r>
      <w:r w:rsidR="0025678B" w:rsidRPr="003234C5">
        <w:rPr>
          <w:rFonts w:ascii="Arial" w:hAnsi="Arial" w:cs="Arial"/>
        </w:rPr>
        <w:t>a Companhia</w:t>
      </w:r>
      <w:r w:rsidRPr="003234C5">
        <w:rPr>
          <w:rFonts w:ascii="Arial" w:hAnsi="Arial" w:cs="Arial"/>
        </w:rPr>
        <w:t xml:space="preserve"> irá encontrar dificuldades em cumprir as obrigações associadas com seus passivos financeiros que são liquidados com pagamentos </w:t>
      </w:r>
      <w:r w:rsidRPr="003234C5">
        <w:rPr>
          <w:rFonts w:ascii="Arial" w:hAnsi="Arial" w:cs="Arial"/>
        </w:rPr>
        <w:lastRenderedPageBreak/>
        <w:t xml:space="preserve">em caixa ou com outro ativo financeiro. </w:t>
      </w:r>
      <w:r w:rsidR="0025678B" w:rsidRPr="003234C5">
        <w:rPr>
          <w:rFonts w:ascii="Arial" w:hAnsi="Arial" w:cs="Arial"/>
        </w:rPr>
        <w:t xml:space="preserve">A Companhia utiliza seus recursos principalmente com despesas de capital, despesas operacionais e pagamentos de dividendos. </w:t>
      </w:r>
    </w:p>
    <w:p w14:paraId="468A02E1" w14:textId="188A3DC4" w:rsidR="004E606D" w:rsidRPr="003234C5" w:rsidRDefault="00A04FED" w:rsidP="00A04FED">
      <w:pPr>
        <w:autoSpaceDE w:val="0"/>
        <w:autoSpaceDN w:val="0"/>
        <w:adjustRightInd w:val="0"/>
        <w:jc w:val="both"/>
        <w:rPr>
          <w:rFonts w:ascii="Arial" w:hAnsi="Arial" w:cs="Arial"/>
        </w:rPr>
      </w:pPr>
      <w:r w:rsidRPr="003234C5">
        <w:rPr>
          <w:rFonts w:ascii="Arial" w:hAnsi="Arial" w:cs="Arial"/>
        </w:rPr>
        <w:t xml:space="preserve">A abordagem </w:t>
      </w:r>
      <w:r w:rsidR="0025678B" w:rsidRPr="003234C5">
        <w:rPr>
          <w:rFonts w:ascii="Arial" w:hAnsi="Arial" w:cs="Arial"/>
        </w:rPr>
        <w:t xml:space="preserve">da </w:t>
      </w:r>
      <w:r w:rsidR="00F71A6C" w:rsidRPr="003234C5">
        <w:rPr>
          <w:rFonts w:ascii="Arial" w:hAnsi="Arial" w:cs="Arial"/>
        </w:rPr>
        <w:t>CEGÁS</w:t>
      </w:r>
      <w:r w:rsidRPr="003234C5">
        <w:rPr>
          <w:rFonts w:ascii="Arial" w:hAnsi="Arial" w:cs="Arial"/>
        </w:rPr>
        <w:t xml:space="preserve"> na Administração da liquidez é de garantir, na medida do possível, que sempre terá liquidez suficiente para cumprir com suas obrigações no vencimento, tanto em condições normais como de estresse, sem causar perdas inaceitáveis ou risco de prejudicar a reputação </w:t>
      </w:r>
      <w:r w:rsidR="0025678B" w:rsidRPr="003234C5">
        <w:rPr>
          <w:rFonts w:ascii="Arial" w:hAnsi="Arial" w:cs="Arial"/>
        </w:rPr>
        <w:t>da Companhia</w:t>
      </w:r>
      <w:r w:rsidRPr="003234C5">
        <w:rPr>
          <w:rFonts w:ascii="Arial" w:hAnsi="Arial" w:cs="Arial"/>
        </w:rPr>
        <w:t>.</w:t>
      </w:r>
    </w:p>
    <w:p w14:paraId="126176AD" w14:textId="5C041D16" w:rsidR="0025678B" w:rsidRDefault="0025678B" w:rsidP="00A04FED">
      <w:pPr>
        <w:autoSpaceDE w:val="0"/>
        <w:autoSpaceDN w:val="0"/>
        <w:adjustRightInd w:val="0"/>
        <w:jc w:val="both"/>
        <w:rPr>
          <w:rFonts w:ascii="Arial" w:hAnsi="Arial" w:cs="Arial"/>
        </w:rPr>
      </w:pPr>
      <w:r w:rsidRPr="003234C5">
        <w:rPr>
          <w:rFonts w:ascii="Arial" w:hAnsi="Arial" w:cs="Arial"/>
        </w:rPr>
        <w:t>A tabela a seguir analisa os passivos financeiros da Companhia por faixas de vencimento, correspondentes ao período remanescente no balanço patrimonial até a data contratual do vencimento:</w:t>
      </w:r>
    </w:p>
    <w:p w14:paraId="24DCB055" w14:textId="77777777" w:rsidR="008C71D1" w:rsidRPr="003234C5" w:rsidRDefault="008C71D1" w:rsidP="00A04FED">
      <w:pPr>
        <w:autoSpaceDE w:val="0"/>
        <w:autoSpaceDN w:val="0"/>
        <w:adjustRightInd w:val="0"/>
        <w:jc w:val="both"/>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706"/>
        <w:gridCol w:w="1559"/>
        <w:gridCol w:w="1418"/>
        <w:gridCol w:w="1417"/>
      </w:tblGrid>
      <w:tr w:rsidR="0025678B" w:rsidRPr="00B749D9" w14:paraId="59C63513" w14:textId="77777777" w:rsidTr="0093170F">
        <w:trPr>
          <w:trHeight w:val="315"/>
        </w:trPr>
        <w:tc>
          <w:tcPr>
            <w:tcW w:w="2967" w:type="dxa"/>
            <w:shd w:val="clear" w:color="auto" w:fill="BFBFBF" w:themeFill="background1" w:themeFillShade="BF"/>
            <w:vAlign w:val="center"/>
            <w:hideMark/>
          </w:tcPr>
          <w:p w14:paraId="4D368232" w14:textId="24EAF0F5" w:rsidR="0025678B" w:rsidRPr="00B749D9" w:rsidRDefault="00C6257E" w:rsidP="0025678B">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2019</w:t>
            </w:r>
          </w:p>
        </w:tc>
        <w:tc>
          <w:tcPr>
            <w:tcW w:w="1706" w:type="dxa"/>
            <w:shd w:val="clear" w:color="auto" w:fill="BFBFBF" w:themeFill="background1" w:themeFillShade="BF"/>
            <w:vAlign w:val="center"/>
            <w:hideMark/>
          </w:tcPr>
          <w:p w14:paraId="3F2DA63C" w14:textId="77777777" w:rsidR="0025678B" w:rsidRPr="00B749D9"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554F2D81" w14:textId="77777777" w:rsidR="0025678B" w:rsidRPr="00B749D9"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5991824E" w14:textId="77777777" w:rsidR="0025678B" w:rsidRPr="00B749D9"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3E40DF60" w14:textId="77777777" w:rsidR="0025678B" w:rsidRPr="00B749D9"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3 - 5 anos</w:t>
            </w:r>
          </w:p>
        </w:tc>
      </w:tr>
      <w:tr w:rsidR="003D4C83" w:rsidRPr="00B749D9" w14:paraId="2C845B2F" w14:textId="77777777" w:rsidTr="0093170F">
        <w:trPr>
          <w:trHeight w:val="315"/>
        </w:trPr>
        <w:tc>
          <w:tcPr>
            <w:tcW w:w="2967" w:type="dxa"/>
            <w:shd w:val="clear" w:color="auto" w:fill="auto"/>
            <w:noWrap/>
            <w:vAlign w:val="bottom"/>
            <w:hideMark/>
          </w:tcPr>
          <w:p w14:paraId="23EEF385" w14:textId="01966DC9" w:rsidR="003D4C83" w:rsidRPr="00B749D9" w:rsidRDefault="003D4C83" w:rsidP="003D4C83">
            <w:pPr>
              <w:suppressAutoHyphens w:val="0"/>
              <w:spacing w:after="0" w:line="240" w:lineRule="auto"/>
              <w:rPr>
                <w:rFonts w:ascii="Arial" w:eastAsia="Times New Roman" w:hAnsi="Arial" w:cs="Arial"/>
                <w:color w:val="000000"/>
                <w:kern w:val="0"/>
                <w:sz w:val="20"/>
                <w:szCs w:val="20"/>
                <w:lang w:eastAsia="pt-BR"/>
              </w:rPr>
            </w:pPr>
            <w:r w:rsidRPr="00B749D9">
              <w:rPr>
                <w:rFonts w:ascii="Arial" w:hAnsi="Arial" w:cs="Arial"/>
                <w:color w:val="000000"/>
                <w:sz w:val="20"/>
                <w:szCs w:val="20"/>
              </w:rPr>
              <w:t xml:space="preserve"> Fornecedores </w:t>
            </w:r>
          </w:p>
        </w:tc>
        <w:tc>
          <w:tcPr>
            <w:tcW w:w="1706" w:type="dxa"/>
            <w:shd w:val="clear" w:color="auto" w:fill="auto"/>
            <w:noWrap/>
            <w:vAlign w:val="center"/>
          </w:tcPr>
          <w:p w14:paraId="2100F216" w14:textId="1DBEBC13" w:rsidR="003D4C83" w:rsidRPr="00B749D9" w:rsidRDefault="00CC6D1D" w:rsidP="003D4C83">
            <w:pPr>
              <w:suppressAutoHyphens w:val="0"/>
              <w:spacing w:after="0" w:line="240" w:lineRule="auto"/>
              <w:jc w:val="right"/>
              <w:rPr>
                <w:rFonts w:ascii="Arial" w:eastAsia="Times New Roman" w:hAnsi="Arial" w:cs="Arial"/>
                <w:color w:val="000000"/>
                <w:kern w:val="0"/>
                <w:sz w:val="20"/>
                <w:szCs w:val="20"/>
                <w:lang w:eastAsia="pt-BR"/>
              </w:rPr>
            </w:pPr>
            <w:r w:rsidRPr="00B749D9">
              <w:rPr>
                <w:rFonts w:ascii="Arial" w:eastAsia="Times New Roman" w:hAnsi="Arial" w:cs="Arial"/>
                <w:color w:val="000000"/>
                <w:kern w:val="0"/>
                <w:sz w:val="20"/>
                <w:szCs w:val="20"/>
                <w:lang w:eastAsia="pt-BR"/>
              </w:rPr>
              <w:t>80.233</w:t>
            </w:r>
          </w:p>
        </w:tc>
        <w:tc>
          <w:tcPr>
            <w:tcW w:w="1559" w:type="dxa"/>
            <w:shd w:val="clear" w:color="auto" w:fill="auto"/>
            <w:noWrap/>
            <w:vAlign w:val="bottom"/>
          </w:tcPr>
          <w:p w14:paraId="3C53F562" w14:textId="27B85AF2" w:rsidR="003D4C83" w:rsidRPr="00B749D9"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749D9">
              <w:rPr>
                <w:rFonts w:ascii="Arial" w:eastAsia="Times New Roman" w:hAnsi="Arial" w:cs="Arial"/>
                <w:color w:val="000000"/>
                <w:kern w:val="0"/>
                <w:sz w:val="20"/>
                <w:szCs w:val="20"/>
                <w:lang w:eastAsia="pt-BR"/>
              </w:rPr>
              <w:t>80.233</w:t>
            </w:r>
          </w:p>
        </w:tc>
        <w:tc>
          <w:tcPr>
            <w:tcW w:w="1418" w:type="dxa"/>
            <w:shd w:val="clear" w:color="auto" w:fill="auto"/>
            <w:noWrap/>
            <w:vAlign w:val="bottom"/>
          </w:tcPr>
          <w:p w14:paraId="7BF97DB3" w14:textId="21CBA6BD" w:rsidR="003D4C83" w:rsidRPr="00B749D9"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749D9">
              <w:rPr>
                <w:rFonts w:ascii="Arial" w:eastAsia="Times New Roman" w:hAnsi="Arial" w:cs="Arial"/>
                <w:color w:val="000000"/>
                <w:kern w:val="0"/>
                <w:sz w:val="20"/>
                <w:szCs w:val="20"/>
                <w:lang w:eastAsia="pt-BR"/>
              </w:rPr>
              <w:t>-</w:t>
            </w:r>
          </w:p>
        </w:tc>
        <w:tc>
          <w:tcPr>
            <w:tcW w:w="1417" w:type="dxa"/>
            <w:shd w:val="clear" w:color="auto" w:fill="auto"/>
            <w:noWrap/>
            <w:vAlign w:val="bottom"/>
          </w:tcPr>
          <w:p w14:paraId="2D5838B6" w14:textId="1CC8544A" w:rsidR="003D4C83" w:rsidRPr="00B749D9"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749D9">
              <w:rPr>
                <w:rFonts w:ascii="Arial" w:eastAsia="Times New Roman" w:hAnsi="Arial" w:cs="Arial"/>
                <w:color w:val="000000"/>
                <w:kern w:val="0"/>
                <w:sz w:val="20"/>
                <w:szCs w:val="20"/>
                <w:lang w:eastAsia="pt-BR"/>
              </w:rPr>
              <w:t>-</w:t>
            </w:r>
          </w:p>
        </w:tc>
      </w:tr>
      <w:tr w:rsidR="003D4C83" w:rsidRPr="00B749D9" w14:paraId="06F54DF5" w14:textId="77777777" w:rsidTr="0093170F">
        <w:trPr>
          <w:trHeight w:val="315"/>
        </w:trPr>
        <w:tc>
          <w:tcPr>
            <w:tcW w:w="2967" w:type="dxa"/>
            <w:shd w:val="clear" w:color="auto" w:fill="auto"/>
            <w:noWrap/>
            <w:vAlign w:val="bottom"/>
            <w:hideMark/>
          </w:tcPr>
          <w:p w14:paraId="6CAAF556" w14:textId="7263BBDB" w:rsidR="003D4C83" w:rsidRPr="00B749D9" w:rsidRDefault="003D4C83" w:rsidP="003D4C83">
            <w:pPr>
              <w:suppressAutoHyphens w:val="0"/>
              <w:spacing w:after="0" w:line="240" w:lineRule="auto"/>
              <w:rPr>
                <w:rFonts w:ascii="Arial" w:eastAsia="Times New Roman" w:hAnsi="Arial" w:cs="Arial"/>
                <w:color w:val="000000"/>
                <w:kern w:val="0"/>
                <w:sz w:val="20"/>
                <w:szCs w:val="20"/>
                <w:lang w:eastAsia="pt-BR"/>
              </w:rPr>
            </w:pPr>
            <w:r w:rsidRPr="00B749D9">
              <w:rPr>
                <w:rFonts w:ascii="Arial" w:hAnsi="Arial" w:cs="Arial"/>
                <w:color w:val="000000"/>
                <w:sz w:val="20"/>
                <w:szCs w:val="20"/>
              </w:rPr>
              <w:t xml:space="preserve"> Empréstimos e financiamentos </w:t>
            </w:r>
          </w:p>
        </w:tc>
        <w:tc>
          <w:tcPr>
            <w:tcW w:w="1706" w:type="dxa"/>
            <w:shd w:val="clear" w:color="auto" w:fill="auto"/>
            <w:noWrap/>
            <w:vAlign w:val="center"/>
          </w:tcPr>
          <w:p w14:paraId="7592C738" w14:textId="116A3653" w:rsidR="003D4C83" w:rsidRPr="00B749D9" w:rsidRDefault="00CC6D1D" w:rsidP="003D4C83">
            <w:pPr>
              <w:suppressAutoHyphens w:val="0"/>
              <w:spacing w:after="0" w:line="240" w:lineRule="auto"/>
              <w:jc w:val="right"/>
              <w:rPr>
                <w:rFonts w:ascii="Arial" w:eastAsia="Times New Roman" w:hAnsi="Arial" w:cs="Arial"/>
                <w:color w:val="000000"/>
                <w:kern w:val="0"/>
                <w:sz w:val="20"/>
                <w:szCs w:val="20"/>
                <w:lang w:eastAsia="pt-BR"/>
              </w:rPr>
            </w:pPr>
            <w:r w:rsidRPr="00B749D9">
              <w:rPr>
                <w:rFonts w:ascii="Arial" w:eastAsia="Times New Roman" w:hAnsi="Arial" w:cs="Arial"/>
                <w:color w:val="000000"/>
                <w:kern w:val="0"/>
                <w:sz w:val="20"/>
                <w:szCs w:val="20"/>
                <w:lang w:eastAsia="pt-BR"/>
              </w:rPr>
              <w:t>59.862</w:t>
            </w:r>
          </w:p>
        </w:tc>
        <w:tc>
          <w:tcPr>
            <w:tcW w:w="1559" w:type="dxa"/>
            <w:shd w:val="clear" w:color="auto" w:fill="auto"/>
            <w:noWrap/>
            <w:vAlign w:val="center"/>
          </w:tcPr>
          <w:p w14:paraId="1AF1AD9A" w14:textId="43ACA0C2" w:rsidR="003D4C83" w:rsidRPr="00B749D9"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749D9">
              <w:rPr>
                <w:rFonts w:ascii="Arial" w:eastAsia="Times New Roman" w:hAnsi="Arial" w:cs="Arial"/>
                <w:color w:val="000000"/>
                <w:kern w:val="0"/>
                <w:sz w:val="20"/>
                <w:szCs w:val="20"/>
                <w:lang w:eastAsia="pt-BR"/>
              </w:rPr>
              <w:t>8.844</w:t>
            </w:r>
          </w:p>
        </w:tc>
        <w:tc>
          <w:tcPr>
            <w:tcW w:w="1418" w:type="dxa"/>
            <w:shd w:val="clear" w:color="auto" w:fill="auto"/>
            <w:noWrap/>
            <w:vAlign w:val="center"/>
          </w:tcPr>
          <w:p w14:paraId="449DA2F8" w14:textId="501B0FD8" w:rsidR="003D4C83" w:rsidRPr="00B749D9"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749D9">
              <w:rPr>
                <w:rFonts w:ascii="Arial" w:eastAsia="Times New Roman" w:hAnsi="Arial" w:cs="Arial"/>
                <w:color w:val="000000"/>
                <w:kern w:val="0"/>
                <w:sz w:val="20"/>
                <w:szCs w:val="20"/>
                <w:lang w:eastAsia="pt-BR"/>
              </w:rPr>
              <w:t>14.750</w:t>
            </w:r>
          </w:p>
        </w:tc>
        <w:tc>
          <w:tcPr>
            <w:tcW w:w="1417" w:type="dxa"/>
            <w:shd w:val="clear" w:color="auto" w:fill="auto"/>
            <w:noWrap/>
            <w:vAlign w:val="center"/>
          </w:tcPr>
          <w:p w14:paraId="6E81DC82" w14:textId="688B9D00" w:rsidR="003D4C83" w:rsidRPr="00B749D9"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749D9">
              <w:rPr>
                <w:rFonts w:ascii="Arial" w:eastAsia="Times New Roman" w:hAnsi="Arial" w:cs="Arial"/>
                <w:color w:val="000000"/>
                <w:kern w:val="0"/>
                <w:sz w:val="20"/>
                <w:szCs w:val="20"/>
                <w:lang w:eastAsia="pt-BR"/>
              </w:rPr>
              <w:t>36.268</w:t>
            </w:r>
          </w:p>
        </w:tc>
      </w:tr>
      <w:tr w:rsidR="003D4C83" w:rsidRPr="00B749D9" w14:paraId="36A11ACF" w14:textId="77777777" w:rsidTr="0093170F">
        <w:trPr>
          <w:trHeight w:val="315"/>
        </w:trPr>
        <w:tc>
          <w:tcPr>
            <w:tcW w:w="2967" w:type="dxa"/>
            <w:shd w:val="clear" w:color="auto" w:fill="auto"/>
            <w:noWrap/>
            <w:vAlign w:val="bottom"/>
          </w:tcPr>
          <w:p w14:paraId="5A60B49F" w14:textId="3ABDCB64" w:rsidR="003D4C83" w:rsidRPr="00B749D9" w:rsidRDefault="003D4C83" w:rsidP="003D4C83">
            <w:pPr>
              <w:suppressAutoHyphens w:val="0"/>
              <w:spacing w:after="0" w:line="240" w:lineRule="auto"/>
              <w:rPr>
                <w:rFonts w:ascii="Arial" w:eastAsia="Times New Roman" w:hAnsi="Arial" w:cs="Arial"/>
                <w:b/>
                <w:color w:val="000000"/>
                <w:kern w:val="0"/>
                <w:sz w:val="20"/>
                <w:szCs w:val="20"/>
                <w:lang w:eastAsia="pt-BR"/>
              </w:rPr>
            </w:pPr>
            <w:r w:rsidRPr="00B749D9">
              <w:rPr>
                <w:rFonts w:ascii="Arial" w:hAnsi="Arial" w:cs="Arial"/>
                <w:color w:val="000000"/>
                <w:sz w:val="20"/>
                <w:szCs w:val="20"/>
              </w:rPr>
              <w:t xml:space="preserve"> </w:t>
            </w:r>
            <w:r w:rsidRPr="00974487">
              <w:rPr>
                <w:rFonts w:ascii="Arial" w:hAnsi="Arial" w:cs="Arial"/>
                <w:color w:val="000000"/>
                <w:sz w:val="20"/>
                <w:szCs w:val="20"/>
              </w:rPr>
              <w:t>Outras contas a pagar</w:t>
            </w:r>
            <w:r w:rsidRPr="00B749D9">
              <w:rPr>
                <w:rFonts w:ascii="Arial" w:hAnsi="Arial" w:cs="Arial"/>
                <w:color w:val="000000"/>
                <w:sz w:val="20"/>
                <w:szCs w:val="20"/>
              </w:rPr>
              <w:t xml:space="preserve"> </w:t>
            </w:r>
          </w:p>
        </w:tc>
        <w:tc>
          <w:tcPr>
            <w:tcW w:w="1706" w:type="dxa"/>
            <w:shd w:val="clear" w:color="auto" w:fill="auto"/>
            <w:noWrap/>
            <w:vAlign w:val="center"/>
          </w:tcPr>
          <w:p w14:paraId="4AFE2F1F" w14:textId="22E3F755" w:rsidR="003D4C83" w:rsidRPr="00B749D9" w:rsidRDefault="00B627BC" w:rsidP="003D4C83">
            <w:pPr>
              <w:suppressAutoHyphens w:val="0"/>
              <w:spacing w:after="0" w:line="240" w:lineRule="auto"/>
              <w:jc w:val="right"/>
              <w:rPr>
                <w:rFonts w:ascii="Arial" w:eastAsia="Times New Roman" w:hAnsi="Arial" w:cs="Arial"/>
                <w:bCs/>
                <w:color w:val="000000"/>
                <w:kern w:val="0"/>
                <w:sz w:val="20"/>
                <w:szCs w:val="20"/>
                <w:lang w:eastAsia="pt-BR"/>
              </w:rPr>
            </w:pPr>
            <w:r w:rsidRPr="00B749D9">
              <w:rPr>
                <w:rFonts w:ascii="Arial" w:eastAsia="Times New Roman" w:hAnsi="Arial" w:cs="Arial"/>
                <w:bCs/>
                <w:color w:val="000000"/>
                <w:kern w:val="0"/>
                <w:sz w:val="20"/>
                <w:szCs w:val="20"/>
                <w:lang w:eastAsia="pt-BR"/>
              </w:rPr>
              <w:t>4.353</w:t>
            </w:r>
          </w:p>
        </w:tc>
        <w:tc>
          <w:tcPr>
            <w:tcW w:w="1559" w:type="dxa"/>
            <w:shd w:val="clear" w:color="auto" w:fill="auto"/>
            <w:noWrap/>
            <w:vAlign w:val="center"/>
          </w:tcPr>
          <w:p w14:paraId="14629FAA" w14:textId="3E971273" w:rsidR="003D4C83" w:rsidRPr="00B749D9" w:rsidRDefault="00B627BC" w:rsidP="003D4C83">
            <w:pPr>
              <w:suppressAutoHyphens w:val="0"/>
              <w:spacing w:after="0" w:line="240" w:lineRule="auto"/>
              <w:jc w:val="right"/>
              <w:rPr>
                <w:rFonts w:ascii="Arial" w:eastAsia="Times New Roman" w:hAnsi="Arial" w:cs="Arial"/>
                <w:bCs/>
                <w:color w:val="000000"/>
                <w:kern w:val="0"/>
                <w:sz w:val="20"/>
                <w:szCs w:val="20"/>
                <w:lang w:eastAsia="pt-BR"/>
              </w:rPr>
            </w:pPr>
            <w:r w:rsidRPr="00B749D9">
              <w:rPr>
                <w:rFonts w:ascii="Arial" w:eastAsia="Times New Roman" w:hAnsi="Arial" w:cs="Arial"/>
                <w:bCs/>
                <w:color w:val="000000"/>
                <w:kern w:val="0"/>
                <w:sz w:val="20"/>
                <w:szCs w:val="20"/>
                <w:lang w:eastAsia="pt-BR"/>
              </w:rPr>
              <w:t>4.286</w:t>
            </w:r>
          </w:p>
        </w:tc>
        <w:tc>
          <w:tcPr>
            <w:tcW w:w="1418" w:type="dxa"/>
            <w:shd w:val="clear" w:color="auto" w:fill="auto"/>
            <w:noWrap/>
            <w:vAlign w:val="center"/>
          </w:tcPr>
          <w:p w14:paraId="269409B6" w14:textId="7D4D8925" w:rsidR="003D4C83" w:rsidRPr="00B749D9" w:rsidRDefault="00B627BC" w:rsidP="003D4C83">
            <w:pPr>
              <w:suppressAutoHyphens w:val="0"/>
              <w:spacing w:after="0" w:line="240" w:lineRule="auto"/>
              <w:jc w:val="right"/>
              <w:rPr>
                <w:rFonts w:ascii="Arial" w:eastAsia="Times New Roman" w:hAnsi="Arial" w:cs="Arial"/>
                <w:bCs/>
                <w:color w:val="000000"/>
                <w:kern w:val="0"/>
                <w:sz w:val="20"/>
                <w:szCs w:val="20"/>
                <w:lang w:eastAsia="pt-BR"/>
              </w:rPr>
            </w:pPr>
            <w:r w:rsidRPr="00B749D9">
              <w:rPr>
                <w:rFonts w:ascii="Arial" w:eastAsia="Times New Roman" w:hAnsi="Arial" w:cs="Arial"/>
                <w:bCs/>
                <w:color w:val="000000"/>
                <w:kern w:val="0"/>
                <w:sz w:val="20"/>
                <w:szCs w:val="20"/>
                <w:lang w:eastAsia="pt-BR"/>
              </w:rPr>
              <w:t>67</w:t>
            </w:r>
          </w:p>
        </w:tc>
        <w:tc>
          <w:tcPr>
            <w:tcW w:w="1417" w:type="dxa"/>
            <w:shd w:val="clear" w:color="auto" w:fill="auto"/>
            <w:noWrap/>
            <w:vAlign w:val="center"/>
          </w:tcPr>
          <w:p w14:paraId="18455380" w14:textId="22934BA0" w:rsidR="003D4C83" w:rsidRPr="00B749D9" w:rsidRDefault="00B627BC" w:rsidP="003D4C83">
            <w:pPr>
              <w:suppressAutoHyphens w:val="0"/>
              <w:spacing w:after="0" w:line="240" w:lineRule="auto"/>
              <w:jc w:val="right"/>
              <w:rPr>
                <w:rFonts w:ascii="Arial" w:eastAsia="Times New Roman" w:hAnsi="Arial" w:cs="Arial"/>
                <w:bCs/>
                <w:color w:val="000000"/>
                <w:kern w:val="0"/>
                <w:sz w:val="20"/>
                <w:szCs w:val="20"/>
                <w:lang w:eastAsia="pt-BR"/>
              </w:rPr>
            </w:pPr>
            <w:r w:rsidRPr="00B749D9">
              <w:rPr>
                <w:rFonts w:ascii="Arial" w:eastAsia="Times New Roman" w:hAnsi="Arial" w:cs="Arial"/>
                <w:bCs/>
                <w:color w:val="000000"/>
                <w:kern w:val="0"/>
                <w:sz w:val="20"/>
                <w:szCs w:val="20"/>
                <w:lang w:eastAsia="pt-BR"/>
              </w:rPr>
              <w:t>-</w:t>
            </w:r>
          </w:p>
        </w:tc>
      </w:tr>
      <w:tr w:rsidR="003D4C83" w:rsidRPr="00B749D9" w14:paraId="72D09060" w14:textId="77777777" w:rsidTr="0093170F">
        <w:trPr>
          <w:trHeight w:val="315"/>
        </w:trPr>
        <w:tc>
          <w:tcPr>
            <w:tcW w:w="2967" w:type="dxa"/>
            <w:shd w:val="clear" w:color="auto" w:fill="auto"/>
            <w:noWrap/>
            <w:vAlign w:val="bottom"/>
            <w:hideMark/>
          </w:tcPr>
          <w:p w14:paraId="0BBC64AF" w14:textId="77777777" w:rsidR="003D4C83" w:rsidRPr="00B749D9" w:rsidRDefault="003D4C83" w:rsidP="003D4C83">
            <w:pPr>
              <w:suppressAutoHyphens w:val="0"/>
              <w:spacing w:after="0" w:line="240" w:lineRule="auto"/>
              <w:rPr>
                <w:rFonts w:ascii="Arial" w:eastAsia="Times New Roman" w:hAnsi="Arial" w:cs="Arial"/>
                <w:b/>
                <w:color w:val="000000"/>
                <w:kern w:val="0"/>
                <w:sz w:val="20"/>
                <w:szCs w:val="20"/>
                <w:lang w:eastAsia="pt-BR"/>
              </w:rPr>
            </w:pPr>
            <w:r w:rsidRPr="00B749D9">
              <w:rPr>
                <w:rFonts w:ascii="Arial" w:eastAsia="Times New Roman" w:hAnsi="Arial" w:cs="Arial"/>
                <w:b/>
                <w:color w:val="000000"/>
                <w:kern w:val="0"/>
                <w:sz w:val="20"/>
                <w:szCs w:val="20"/>
                <w:lang w:eastAsia="pt-BR"/>
              </w:rPr>
              <w:t xml:space="preserve"> Total </w:t>
            </w:r>
          </w:p>
        </w:tc>
        <w:tc>
          <w:tcPr>
            <w:tcW w:w="1706" w:type="dxa"/>
            <w:shd w:val="clear" w:color="auto" w:fill="auto"/>
            <w:noWrap/>
            <w:vAlign w:val="center"/>
          </w:tcPr>
          <w:p w14:paraId="556F3549" w14:textId="37E34A4A" w:rsidR="003D4C83" w:rsidRPr="00B749D9" w:rsidRDefault="00D5629D"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144.448</w:t>
            </w:r>
          </w:p>
        </w:tc>
        <w:tc>
          <w:tcPr>
            <w:tcW w:w="1559" w:type="dxa"/>
            <w:shd w:val="clear" w:color="auto" w:fill="auto"/>
            <w:noWrap/>
            <w:vAlign w:val="center"/>
          </w:tcPr>
          <w:p w14:paraId="265C15B3" w14:textId="7588307B" w:rsidR="003D4C83" w:rsidRPr="00B749D9" w:rsidRDefault="00D5629D"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93.363</w:t>
            </w:r>
          </w:p>
        </w:tc>
        <w:tc>
          <w:tcPr>
            <w:tcW w:w="1418" w:type="dxa"/>
            <w:shd w:val="clear" w:color="auto" w:fill="auto"/>
            <w:noWrap/>
            <w:vAlign w:val="center"/>
          </w:tcPr>
          <w:p w14:paraId="35B9483F" w14:textId="7ADE33F0" w:rsidR="003D4C83" w:rsidRPr="00B749D9" w:rsidRDefault="00B627BC" w:rsidP="003D4C83">
            <w:pPr>
              <w:suppressAutoHyphens w:val="0"/>
              <w:spacing w:after="0" w:line="240" w:lineRule="auto"/>
              <w:jc w:val="right"/>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14.817</w:t>
            </w:r>
          </w:p>
        </w:tc>
        <w:tc>
          <w:tcPr>
            <w:tcW w:w="1417" w:type="dxa"/>
            <w:shd w:val="clear" w:color="auto" w:fill="auto"/>
            <w:noWrap/>
            <w:vAlign w:val="center"/>
          </w:tcPr>
          <w:p w14:paraId="20157906" w14:textId="09425563" w:rsidR="003D4C83" w:rsidRPr="00B749D9" w:rsidRDefault="00D5629D"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36.268</w:t>
            </w:r>
          </w:p>
        </w:tc>
      </w:tr>
    </w:tbl>
    <w:p w14:paraId="12A3FD52" w14:textId="77777777" w:rsidR="00D33D59" w:rsidRDefault="00D33D59"/>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706"/>
        <w:gridCol w:w="1559"/>
        <w:gridCol w:w="1418"/>
        <w:gridCol w:w="1417"/>
      </w:tblGrid>
      <w:tr w:rsidR="00777588" w:rsidRPr="00B749D9" w14:paraId="046CA979" w14:textId="77777777" w:rsidTr="0093170F">
        <w:trPr>
          <w:trHeight w:val="315"/>
        </w:trPr>
        <w:tc>
          <w:tcPr>
            <w:tcW w:w="2967" w:type="dxa"/>
            <w:shd w:val="clear" w:color="auto" w:fill="BFBFBF" w:themeFill="background1" w:themeFillShade="BF"/>
            <w:vAlign w:val="center"/>
            <w:hideMark/>
          </w:tcPr>
          <w:p w14:paraId="3EDD7CBC" w14:textId="2EC31A5F" w:rsidR="00777588" w:rsidRPr="00B749D9" w:rsidRDefault="00C6257E"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2018</w:t>
            </w:r>
          </w:p>
        </w:tc>
        <w:tc>
          <w:tcPr>
            <w:tcW w:w="1706" w:type="dxa"/>
            <w:shd w:val="clear" w:color="auto" w:fill="BFBFBF" w:themeFill="background1" w:themeFillShade="BF"/>
            <w:vAlign w:val="center"/>
            <w:hideMark/>
          </w:tcPr>
          <w:p w14:paraId="52071D99" w14:textId="77777777" w:rsidR="00777588" w:rsidRPr="00B749D9"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76076699" w14:textId="77777777" w:rsidR="00777588" w:rsidRPr="00B749D9"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14F7EAA1" w14:textId="77777777" w:rsidR="00777588" w:rsidRPr="00B749D9"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05F0DD76" w14:textId="77777777" w:rsidR="00777588" w:rsidRPr="00B749D9"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749D9">
              <w:rPr>
                <w:rFonts w:ascii="Arial" w:eastAsia="Times New Roman" w:hAnsi="Arial" w:cs="Arial"/>
                <w:b/>
                <w:bCs/>
                <w:color w:val="000000"/>
                <w:kern w:val="0"/>
                <w:sz w:val="20"/>
                <w:szCs w:val="20"/>
                <w:lang w:eastAsia="pt-BR"/>
              </w:rPr>
              <w:t>3 - 5 anos</w:t>
            </w:r>
          </w:p>
        </w:tc>
      </w:tr>
      <w:tr w:rsidR="00B04D55" w:rsidRPr="003421A1" w14:paraId="05587FFB" w14:textId="77777777" w:rsidTr="0093170F">
        <w:trPr>
          <w:trHeight w:val="315"/>
        </w:trPr>
        <w:tc>
          <w:tcPr>
            <w:tcW w:w="2967" w:type="dxa"/>
            <w:shd w:val="clear" w:color="auto" w:fill="auto"/>
            <w:noWrap/>
            <w:vAlign w:val="bottom"/>
            <w:hideMark/>
          </w:tcPr>
          <w:p w14:paraId="57AE43DF" w14:textId="77777777" w:rsidR="00B04D55" w:rsidRPr="003421A1" w:rsidRDefault="00B04D55" w:rsidP="00B04D55">
            <w:pPr>
              <w:suppressAutoHyphens w:val="0"/>
              <w:spacing w:after="0" w:line="240" w:lineRule="auto"/>
              <w:rPr>
                <w:rFonts w:ascii="Arial" w:eastAsia="Times New Roman" w:hAnsi="Arial" w:cs="Arial"/>
                <w:color w:val="000000"/>
                <w:kern w:val="0"/>
                <w:sz w:val="20"/>
                <w:szCs w:val="20"/>
                <w:lang w:eastAsia="pt-BR"/>
              </w:rPr>
            </w:pPr>
            <w:r w:rsidRPr="003421A1">
              <w:rPr>
                <w:rFonts w:ascii="Arial" w:hAnsi="Arial" w:cs="Arial"/>
                <w:color w:val="000000"/>
                <w:sz w:val="20"/>
                <w:szCs w:val="20"/>
              </w:rPr>
              <w:t xml:space="preserve"> Fornecedores </w:t>
            </w:r>
          </w:p>
        </w:tc>
        <w:tc>
          <w:tcPr>
            <w:tcW w:w="1706" w:type="dxa"/>
            <w:shd w:val="clear" w:color="auto" w:fill="auto"/>
            <w:noWrap/>
            <w:vAlign w:val="center"/>
            <w:hideMark/>
          </w:tcPr>
          <w:p w14:paraId="536EB5B3" w14:textId="544EC39D" w:rsidR="00B04D55" w:rsidRPr="003421A1" w:rsidRDefault="00934C9C" w:rsidP="00B04D55">
            <w:pPr>
              <w:suppressAutoHyphens w:val="0"/>
              <w:spacing w:after="0" w:line="240" w:lineRule="auto"/>
              <w:jc w:val="right"/>
              <w:rPr>
                <w:rFonts w:ascii="Arial" w:eastAsia="Times New Roman" w:hAnsi="Arial" w:cs="Arial"/>
                <w:color w:val="000000"/>
                <w:kern w:val="0"/>
                <w:sz w:val="20"/>
                <w:szCs w:val="20"/>
                <w:lang w:eastAsia="pt-BR"/>
              </w:rPr>
            </w:pPr>
            <w:r w:rsidRPr="003421A1">
              <w:rPr>
                <w:rFonts w:ascii="Arial" w:eastAsiaTheme="minorHAnsi" w:hAnsi="Arial" w:cs="Arial"/>
                <w:kern w:val="0"/>
                <w:sz w:val="20"/>
                <w:szCs w:val="20"/>
                <w:lang w:eastAsia="en-US"/>
              </w:rPr>
              <w:t>31.496</w:t>
            </w:r>
          </w:p>
        </w:tc>
        <w:tc>
          <w:tcPr>
            <w:tcW w:w="1559" w:type="dxa"/>
            <w:shd w:val="clear" w:color="auto" w:fill="auto"/>
            <w:noWrap/>
            <w:vAlign w:val="bottom"/>
            <w:hideMark/>
          </w:tcPr>
          <w:p w14:paraId="593D7F40" w14:textId="365253C0" w:rsidR="00B04D55" w:rsidRPr="003421A1" w:rsidRDefault="00125270" w:rsidP="00B04D55">
            <w:pPr>
              <w:suppressAutoHyphens w:val="0"/>
              <w:spacing w:after="0" w:line="240" w:lineRule="auto"/>
              <w:jc w:val="right"/>
              <w:rPr>
                <w:rFonts w:ascii="Arial" w:eastAsia="Times New Roman" w:hAnsi="Arial" w:cs="Arial"/>
                <w:color w:val="000000"/>
                <w:kern w:val="0"/>
                <w:sz w:val="20"/>
                <w:szCs w:val="20"/>
                <w:lang w:eastAsia="pt-BR"/>
              </w:rPr>
            </w:pPr>
            <w:r w:rsidRPr="003421A1">
              <w:rPr>
                <w:rFonts w:ascii="Arial" w:eastAsiaTheme="minorHAnsi" w:hAnsi="Arial" w:cs="Arial"/>
                <w:kern w:val="0"/>
                <w:sz w:val="20"/>
                <w:szCs w:val="20"/>
                <w:lang w:eastAsia="en-US"/>
              </w:rPr>
              <w:t>31.496</w:t>
            </w:r>
          </w:p>
        </w:tc>
        <w:tc>
          <w:tcPr>
            <w:tcW w:w="1418" w:type="dxa"/>
            <w:shd w:val="clear" w:color="auto" w:fill="auto"/>
            <w:noWrap/>
            <w:vAlign w:val="bottom"/>
            <w:hideMark/>
          </w:tcPr>
          <w:p w14:paraId="27479152" w14:textId="15EDC43D" w:rsidR="00B04D55" w:rsidRPr="003421A1" w:rsidRDefault="00B04D55" w:rsidP="00B04D55">
            <w:pPr>
              <w:suppressAutoHyphens w:val="0"/>
              <w:spacing w:after="0" w:line="240" w:lineRule="auto"/>
              <w:jc w:val="right"/>
              <w:rPr>
                <w:rFonts w:ascii="Arial" w:eastAsia="Times New Roman" w:hAnsi="Arial" w:cs="Arial"/>
                <w:color w:val="000000"/>
                <w:kern w:val="0"/>
                <w:sz w:val="20"/>
                <w:szCs w:val="20"/>
                <w:lang w:eastAsia="pt-BR"/>
              </w:rPr>
            </w:pPr>
            <w:r w:rsidRPr="003421A1">
              <w:rPr>
                <w:rFonts w:ascii="Arial" w:hAnsi="Arial" w:cs="Arial"/>
                <w:color w:val="000000"/>
                <w:sz w:val="20"/>
                <w:szCs w:val="20"/>
              </w:rPr>
              <w:t>-</w:t>
            </w:r>
          </w:p>
        </w:tc>
        <w:tc>
          <w:tcPr>
            <w:tcW w:w="1417" w:type="dxa"/>
            <w:shd w:val="clear" w:color="auto" w:fill="auto"/>
            <w:noWrap/>
            <w:vAlign w:val="bottom"/>
            <w:hideMark/>
          </w:tcPr>
          <w:p w14:paraId="7F9EACCF" w14:textId="2F7AC5B4" w:rsidR="00B04D55" w:rsidRPr="003421A1" w:rsidRDefault="00B04D55" w:rsidP="00B04D55">
            <w:pPr>
              <w:suppressAutoHyphens w:val="0"/>
              <w:spacing w:after="0" w:line="240" w:lineRule="auto"/>
              <w:jc w:val="right"/>
              <w:rPr>
                <w:rFonts w:ascii="Arial" w:eastAsia="Times New Roman" w:hAnsi="Arial" w:cs="Arial"/>
                <w:color w:val="000000"/>
                <w:kern w:val="0"/>
                <w:sz w:val="20"/>
                <w:szCs w:val="20"/>
                <w:lang w:eastAsia="pt-BR"/>
              </w:rPr>
            </w:pPr>
            <w:r w:rsidRPr="003421A1">
              <w:rPr>
                <w:rFonts w:ascii="Arial" w:hAnsi="Arial" w:cs="Arial"/>
                <w:color w:val="000000"/>
                <w:sz w:val="20"/>
                <w:szCs w:val="20"/>
              </w:rPr>
              <w:t>-</w:t>
            </w:r>
          </w:p>
        </w:tc>
      </w:tr>
      <w:tr w:rsidR="00B04D55" w:rsidRPr="003421A1" w14:paraId="4694185F" w14:textId="77777777" w:rsidTr="0093170F">
        <w:trPr>
          <w:trHeight w:val="315"/>
        </w:trPr>
        <w:tc>
          <w:tcPr>
            <w:tcW w:w="2967" w:type="dxa"/>
            <w:shd w:val="clear" w:color="auto" w:fill="auto"/>
            <w:noWrap/>
            <w:vAlign w:val="bottom"/>
            <w:hideMark/>
          </w:tcPr>
          <w:p w14:paraId="2F32808C" w14:textId="77777777" w:rsidR="00B04D55" w:rsidRPr="003421A1" w:rsidRDefault="00B04D55" w:rsidP="00B04D55">
            <w:pPr>
              <w:suppressAutoHyphens w:val="0"/>
              <w:spacing w:after="0" w:line="240" w:lineRule="auto"/>
              <w:rPr>
                <w:rFonts w:ascii="Arial" w:eastAsia="Times New Roman" w:hAnsi="Arial" w:cs="Arial"/>
                <w:color w:val="000000"/>
                <w:kern w:val="0"/>
                <w:sz w:val="20"/>
                <w:szCs w:val="20"/>
                <w:lang w:eastAsia="pt-BR"/>
              </w:rPr>
            </w:pPr>
            <w:r w:rsidRPr="003421A1">
              <w:rPr>
                <w:rFonts w:ascii="Arial" w:hAnsi="Arial" w:cs="Arial"/>
                <w:color w:val="000000"/>
                <w:sz w:val="20"/>
                <w:szCs w:val="20"/>
              </w:rPr>
              <w:t xml:space="preserve"> Empréstimos e financiamentos </w:t>
            </w:r>
          </w:p>
        </w:tc>
        <w:tc>
          <w:tcPr>
            <w:tcW w:w="1706" w:type="dxa"/>
            <w:shd w:val="clear" w:color="auto" w:fill="auto"/>
            <w:noWrap/>
            <w:vAlign w:val="center"/>
            <w:hideMark/>
          </w:tcPr>
          <w:p w14:paraId="3F7A55D3" w14:textId="4E366A7F" w:rsidR="00B04D55" w:rsidRPr="003421A1" w:rsidRDefault="00934C9C" w:rsidP="00B04D55">
            <w:pPr>
              <w:suppressAutoHyphens w:val="0"/>
              <w:spacing w:after="0" w:line="240" w:lineRule="auto"/>
              <w:jc w:val="right"/>
              <w:rPr>
                <w:rFonts w:ascii="Arial" w:eastAsia="Times New Roman" w:hAnsi="Arial" w:cs="Arial"/>
                <w:color w:val="000000"/>
                <w:kern w:val="0"/>
                <w:sz w:val="20"/>
                <w:szCs w:val="20"/>
                <w:lang w:eastAsia="pt-BR"/>
              </w:rPr>
            </w:pPr>
            <w:r w:rsidRPr="003421A1">
              <w:rPr>
                <w:rFonts w:ascii="Arial" w:eastAsiaTheme="minorHAnsi" w:hAnsi="Arial" w:cs="Arial"/>
                <w:kern w:val="0"/>
                <w:sz w:val="20"/>
                <w:szCs w:val="20"/>
                <w:lang w:eastAsia="en-US"/>
              </w:rPr>
              <w:t>53.556</w:t>
            </w:r>
          </w:p>
        </w:tc>
        <w:tc>
          <w:tcPr>
            <w:tcW w:w="1559" w:type="dxa"/>
            <w:shd w:val="clear" w:color="auto" w:fill="auto"/>
            <w:noWrap/>
            <w:vAlign w:val="center"/>
            <w:hideMark/>
          </w:tcPr>
          <w:p w14:paraId="533B46C2" w14:textId="09CCEEEC" w:rsidR="00B04D55" w:rsidRPr="003421A1" w:rsidRDefault="00125270" w:rsidP="00B04D55">
            <w:pPr>
              <w:suppressAutoHyphens w:val="0"/>
              <w:spacing w:after="0" w:line="240" w:lineRule="auto"/>
              <w:jc w:val="right"/>
              <w:rPr>
                <w:rFonts w:ascii="Arial" w:eastAsia="Times New Roman" w:hAnsi="Arial" w:cs="Arial"/>
                <w:color w:val="000000"/>
                <w:kern w:val="0"/>
                <w:sz w:val="20"/>
                <w:szCs w:val="20"/>
                <w:lang w:eastAsia="pt-BR"/>
              </w:rPr>
            </w:pPr>
            <w:r w:rsidRPr="003421A1">
              <w:rPr>
                <w:rFonts w:ascii="Arial" w:eastAsiaTheme="minorHAnsi" w:hAnsi="Arial" w:cs="Arial"/>
                <w:kern w:val="0"/>
                <w:sz w:val="20"/>
                <w:szCs w:val="20"/>
                <w:lang w:eastAsia="en-US"/>
              </w:rPr>
              <w:t>19.527</w:t>
            </w:r>
          </w:p>
        </w:tc>
        <w:tc>
          <w:tcPr>
            <w:tcW w:w="1418" w:type="dxa"/>
            <w:shd w:val="clear" w:color="auto" w:fill="auto"/>
            <w:noWrap/>
            <w:vAlign w:val="center"/>
            <w:hideMark/>
          </w:tcPr>
          <w:p w14:paraId="241668C7" w14:textId="016E4F98" w:rsidR="00B04D55" w:rsidRPr="003421A1" w:rsidRDefault="00125270" w:rsidP="00B04D55">
            <w:pPr>
              <w:suppressAutoHyphens w:val="0"/>
              <w:spacing w:after="0" w:line="240" w:lineRule="auto"/>
              <w:jc w:val="right"/>
              <w:rPr>
                <w:rFonts w:ascii="Arial" w:eastAsia="Times New Roman" w:hAnsi="Arial" w:cs="Arial"/>
                <w:color w:val="000000"/>
                <w:kern w:val="0"/>
                <w:sz w:val="20"/>
                <w:szCs w:val="20"/>
                <w:lang w:eastAsia="pt-BR"/>
              </w:rPr>
            </w:pPr>
            <w:r w:rsidRPr="003421A1">
              <w:rPr>
                <w:rFonts w:ascii="Arial" w:eastAsiaTheme="minorHAnsi" w:hAnsi="Arial" w:cs="Arial"/>
                <w:kern w:val="0"/>
                <w:sz w:val="20"/>
                <w:szCs w:val="20"/>
                <w:lang w:eastAsia="en-US"/>
              </w:rPr>
              <w:t>14.786</w:t>
            </w:r>
          </w:p>
        </w:tc>
        <w:tc>
          <w:tcPr>
            <w:tcW w:w="1417" w:type="dxa"/>
            <w:shd w:val="clear" w:color="auto" w:fill="auto"/>
            <w:noWrap/>
            <w:vAlign w:val="center"/>
            <w:hideMark/>
          </w:tcPr>
          <w:p w14:paraId="0ABE6E24" w14:textId="2EB80738" w:rsidR="00B04D55" w:rsidRPr="003421A1" w:rsidRDefault="008F0413" w:rsidP="00B04D55">
            <w:pPr>
              <w:suppressAutoHyphens w:val="0"/>
              <w:spacing w:after="0" w:line="240" w:lineRule="auto"/>
              <w:jc w:val="right"/>
              <w:rPr>
                <w:rFonts w:ascii="Arial" w:eastAsia="Times New Roman" w:hAnsi="Arial" w:cs="Arial"/>
                <w:color w:val="000000"/>
                <w:kern w:val="0"/>
                <w:sz w:val="20"/>
                <w:szCs w:val="20"/>
                <w:lang w:eastAsia="pt-BR"/>
              </w:rPr>
            </w:pPr>
            <w:r w:rsidRPr="003421A1">
              <w:rPr>
                <w:rFonts w:ascii="Arial" w:eastAsiaTheme="minorHAnsi" w:hAnsi="Arial" w:cs="Arial"/>
                <w:kern w:val="0"/>
                <w:sz w:val="20"/>
                <w:szCs w:val="20"/>
                <w:lang w:eastAsia="en-US"/>
              </w:rPr>
              <w:t>19.243</w:t>
            </w:r>
          </w:p>
        </w:tc>
      </w:tr>
      <w:tr w:rsidR="00B04D55" w:rsidRPr="003421A1" w14:paraId="7DD9A45A" w14:textId="77777777" w:rsidTr="0093170F">
        <w:trPr>
          <w:trHeight w:val="315"/>
        </w:trPr>
        <w:tc>
          <w:tcPr>
            <w:tcW w:w="2967" w:type="dxa"/>
            <w:shd w:val="clear" w:color="auto" w:fill="auto"/>
            <w:noWrap/>
            <w:vAlign w:val="bottom"/>
          </w:tcPr>
          <w:p w14:paraId="4298ADFB" w14:textId="77777777" w:rsidR="00B04D55" w:rsidRPr="003421A1" w:rsidRDefault="00B04D55" w:rsidP="00B04D55">
            <w:pPr>
              <w:suppressAutoHyphens w:val="0"/>
              <w:spacing w:after="0" w:line="240" w:lineRule="auto"/>
              <w:rPr>
                <w:rFonts w:ascii="Arial" w:eastAsia="Times New Roman" w:hAnsi="Arial" w:cs="Arial"/>
                <w:b/>
                <w:color w:val="000000"/>
                <w:kern w:val="0"/>
                <w:sz w:val="20"/>
                <w:szCs w:val="20"/>
                <w:lang w:eastAsia="pt-BR"/>
              </w:rPr>
            </w:pPr>
            <w:r w:rsidRPr="003421A1">
              <w:rPr>
                <w:rFonts w:ascii="Arial" w:hAnsi="Arial" w:cs="Arial"/>
                <w:color w:val="000000"/>
                <w:sz w:val="20"/>
                <w:szCs w:val="20"/>
              </w:rPr>
              <w:t xml:space="preserve"> </w:t>
            </w:r>
            <w:r w:rsidRPr="00974487">
              <w:rPr>
                <w:rFonts w:ascii="Arial" w:hAnsi="Arial" w:cs="Arial"/>
                <w:color w:val="000000"/>
                <w:sz w:val="20"/>
                <w:szCs w:val="20"/>
              </w:rPr>
              <w:t>Outras contas a pagar</w:t>
            </w:r>
            <w:r w:rsidRPr="003421A1">
              <w:rPr>
                <w:rFonts w:ascii="Arial" w:hAnsi="Arial" w:cs="Arial"/>
                <w:color w:val="000000"/>
                <w:sz w:val="20"/>
                <w:szCs w:val="20"/>
              </w:rPr>
              <w:t xml:space="preserve"> </w:t>
            </w:r>
          </w:p>
        </w:tc>
        <w:tc>
          <w:tcPr>
            <w:tcW w:w="1706" w:type="dxa"/>
            <w:shd w:val="clear" w:color="auto" w:fill="auto"/>
            <w:noWrap/>
            <w:vAlign w:val="center"/>
          </w:tcPr>
          <w:p w14:paraId="7657533E" w14:textId="42A229D4" w:rsidR="00B04D55" w:rsidRPr="003421A1" w:rsidRDefault="00934C9C" w:rsidP="00B04D55">
            <w:pPr>
              <w:suppressAutoHyphens w:val="0"/>
              <w:spacing w:after="0" w:line="240" w:lineRule="auto"/>
              <w:jc w:val="right"/>
              <w:rPr>
                <w:rFonts w:ascii="Arial" w:eastAsia="Times New Roman" w:hAnsi="Arial" w:cs="Arial"/>
                <w:b/>
                <w:color w:val="000000"/>
                <w:kern w:val="0"/>
                <w:sz w:val="20"/>
                <w:szCs w:val="20"/>
                <w:lang w:eastAsia="pt-BR"/>
              </w:rPr>
            </w:pPr>
            <w:r w:rsidRPr="003421A1">
              <w:rPr>
                <w:rFonts w:ascii="Arial" w:eastAsiaTheme="minorHAnsi" w:hAnsi="Arial" w:cs="Arial"/>
                <w:kern w:val="0"/>
                <w:sz w:val="20"/>
                <w:szCs w:val="20"/>
                <w:lang w:eastAsia="en-US"/>
              </w:rPr>
              <w:t>4.655</w:t>
            </w:r>
          </w:p>
        </w:tc>
        <w:tc>
          <w:tcPr>
            <w:tcW w:w="1559" w:type="dxa"/>
            <w:shd w:val="clear" w:color="auto" w:fill="auto"/>
            <w:noWrap/>
            <w:vAlign w:val="center"/>
          </w:tcPr>
          <w:p w14:paraId="0F21624B" w14:textId="1F631245" w:rsidR="00B04D55" w:rsidRPr="003421A1" w:rsidRDefault="00125270" w:rsidP="00B04D55">
            <w:pPr>
              <w:suppressAutoHyphens w:val="0"/>
              <w:spacing w:after="0" w:line="240" w:lineRule="auto"/>
              <w:jc w:val="right"/>
              <w:rPr>
                <w:rFonts w:ascii="Arial" w:eastAsia="Times New Roman" w:hAnsi="Arial" w:cs="Arial"/>
                <w:b/>
                <w:color w:val="000000"/>
                <w:kern w:val="0"/>
                <w:sz w:val="20"/>
                <w:szCs w:val="20"/>
                <w:lang w:eastAsia="pt-BR"/>
              </w:rPr>
            </w:pPr>
            <w:r w:rsidRPr="003421A1">
              <w:rPr>
                <w:rFonts w:ascii="Arial" w:eastAsiaTheme="minorHAnsi" w:hAnsi="Arial" w:cs="Arial"/>
                <w:kern w:val="0"/>
                <w:sz w:val="20"/>
                <w:szCs w:val="20"/>
                <w:lang w:eastAsia="en-US"/>
              </w:rPr>
              <w:t>4.588</w:t>
            </w:r>
          </w:p>
        </w:tc>
        <w:tc>
          <w:tcPr>
            <w:tcW w:w="1418" w:type="dxa"/>
            <w:shd w:val="clear" w:color="auto" w:fill="auto"/>
            <w:noWrap/>
            <w:vAlign w:val="center"/>
          </w:tcPr>
          <w:p w14:paraId="0EC498F6" w14:textId="4D2012C7" w:rsidR="00B04D55" w:rsidRPr="003421A1" w:rsidRDefault="00125270" w:rsidP="00B04D55">
            <w:pPr>
              <w:suppressAutoHyphens w:val="0"/>
              <w:spacing w:after="0" w:line="240" w:lineRule="auto"/>
              <w:jc w:val="right"/>
              <w:rPr>
                <w:rFonts w:ascii="Arial" w:eastAsia="Times New Roman" w:hAnsi="Arial" w:cs="Arial"/>
                <w:b/>
                <w:color w:val="000000"/>
                <w:kern w:val="0"/>
                <w:sz w:val="20"/>
                <w:szCs w:val="20"/>
                <w:lang w:eastAsia="pt-BR"/>
              </w:rPr>
            </w:pPr>
            <w:r w:rsidRPr="003421A1">
              <w:rPr>
                <w:rFonts w:ascii="Arial" w:eastAsiaTheme="minorHAnsi" w:hAnsi="Arial" w:cs="Arial"/>
                <w:kern w:val="0"/>
                <w:sz w:val="20"/>
                <w:szCs w:val="20"/>
                <w:lang w:eastAsia="en-US"/>
              </w:rPr>
              <w:t>67</w:t>
            </w:r>
          </w:p>
        </w:tc>
        <w:tc>
          <w:tcPr>
            <w:tcW w:w="1417" w:type="dxa"/>
            <w:shd w:val="clear" w:color="auto" w:fill="auto"/>
            <w:noWrap/>
            <w:vAlign w:val="center"/>
          </w:tcPr>
          <w:p w14:paraId="272CD44F" w14:textId="2D8246DB" w:rsidR="00B04D55" w:rsidRPr="003421A1" w:rsidRDefault="00B04D55" w:rsidP="00B04D55">
            <w:pPr>
              <w:suppressAutoHyphens w:val="0"/>
              <w:spacing w:after="0" w:line="240" w:lineRule="auto"/>
              <w:jc w:val="right"/>
              <w:rPr>
                <w:rFonts w:ascii="Arial" w:eastAsia="Times New Roman" w:hAnsi="Arial" w:cs="Arial"/>
                <w:b/>
                <w:color w:val="000000"/>
                <w:kern w:val="0"/>
                <w:sz w:val="20"/>
                <w:szCs w:val="20"/>
                <w:lang w:eastAsia="pt-BR"/>
              </w:rPr>
            </w:pPr>
            <w:r w:rsidRPr="003421A1">
              <w:rPr>
                <w:rFonts w:ascii="Arial" w:hAnsi="Arial" w:cs="Arial"/>
                <w:color w:val="000000"/>
                <w:sz w:val="20"/>
                <w:szCs w:val="20"/>
              </w:rPr>
              <w:t>-</w:t>
            </w:r>
          </w:p>
        </w:tc>
      </w:tr>
      <w:tr w:rsidR="00B04D55" w:rsidRPr="003421A1" w14:paraId="50375719" w14:textId="77777777" w:rsidTr="0093170F">
        <w:trPr>
          <w:trHeight w:val="315"/>
        </w:trPr>
        <w:tc>
          <w:tcPr>
            <w:tcW w:w="2967" w:type="dxa"/>
            <w:shd w:val="clear" w:color="auto" w:fill="auto"/>
            <w:noWrap/>
            <w:vAlign w:val="bottom"/>
            <w:hideMark/>
          </w:tcPr>
          <w:p w14:paraId="2182FFBE" w14:textId="77777777" w:rsidR="00B04D55" w:rsidRPr="003421A1" w:rsidRDefault="00B04D55" w:rsidP="00B04D55">
            <w:pPr>
              <w:suppressAutoHyphens w:val="0"/>
              <w:spacing w:after="0" w:line="240" w:lineRule="auto"/>
              <w:rPr>
                <w:rFonts w:ascii="Arial" w:eastAsia="Times New Roman" w:hAnsi="Arial" w:cs="Arial"/>
                <w:b/>
                <w:color w:val="000000"/>
                <w:kern w:val="0"/>
                <w:sz w:val="20"/>
                <w:szCs w:val="20"/>
                <w:lang w:eastAsia="pt-BR"/>
              </w:rPr>
            </w:pPr>
            <w:r w:rsidRPr="003421A1">
              <w:rPr>
                <w:rFonts w:ascii="Arial" w:eastAsia="Times New Roman" w:hAnsi="Arial" w:cs="Arial"/>
                <w:b/>
                <w:color w:val="000000"/>
                <w:kern w:val="0"/>
                <w:sz w:val="20"/>
                <w:szCs w:val="20"/>
                <w:lang w:eastAsia="pt-BR"/>
              </w:rPr>
              <w:t xml:space="preserve"> Total </w:t>
            </w:r>
          </w:p>
        </w:tc>
        <w:tc>
          <w:tcPr>
            <w:tcW w:w="1706" w:type="dxa"/>
            <w:shd w:val="clear" w:color="auto" w:fill="auto"/>
            <w:noWrap/>
            <w:vAlign w:val="center"/>
            <w:hideMark/>
          </w:tcPr>
          <w:p w14:paraId="3999D6FE" w14:textId="4083EFFB" w:rsidR="00B04D55" w:rsidRPr="003421A1" w:rsidRDefault="00D5629D" w:rsidP="00B04D55">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heme="minorHAnsi" w:hAnsi="Arial" w:cs="Arial"/>
                <w:b/>
                <w:bCs/>
                <w:kern w:val="0"/>
                <w:sz w:val="20"/>
                <w:szCs w:val="20"/>
                <w:lang w:eastAsia="en-US"/>
              </w:rPr>
              <w:t>89.629</w:t>
            </w:r>
          </w:p>
        </w:tc>
        <w:tc>
          <w:tcPr>
            <w:tcW w:w="1559" w:type="dxa"/>
            <w:shd w:val="clear" w:color="auto" w:fill="auto"/>
            <w:noWrap/>
            <w:vAlign w:val="center"/>
            <w:hideMark/>
          </w:tcPr>
          <w:p w14:paraId="5DD9A63D" w14:textId="51B863E9" w:rsidR="00B04D55" w:rsidRPr="003421A1" w:rsidRDefault="00D5629D" w:rsidP="00B04D55">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heme="minorHAnsi" w:hAnsi="Arial" w:cs="Arial"/>
                <w:b/>
                <w:bCs/>
                <w:kern w:val="0"/>
                <w:sz w:val="20"/>
                <w:szCs w:val="20"/>
                <w:lang w:eastAsia="en-US"/>
              </w:rPr>
              <w:t>55.600</w:t>
            </w:r>
          </w:p>
        </w:tc>
        <w:tc>
          <w:tcPr>
            <w:tcW w:w="1418" w:type="dxa"/>
            <w:shd w:val="clear" w:color="auto" w:fill="auto"/>
            <w:noWrap/>
            <w:vAlign w:val="center"/>
            <w:hideMark/>
          </w:tcPr>
          <w:p w14:paraId="01CB5572" w14:textId="41245905" w:rsidR="00B04D55" w:rsidRPr="003421A1" w:rsidRDefault="00D5629D" w:rsidP="00B04D55">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heme="minorHAnsi" w:hAnsi="Arial" w:cs="Arial"/>
                <w:b/>
                <w:bCs/>
                <w:kern w:val="0"/>
                <w:sz w:val="20"/>
                <w:szCs w:val="20"/>
                <w:lang w:eastAsia="en-US"/>
              </w:rPr>
              <w:t>14.786</w:t>
            </w:r>
          </w:p>
        </w:tc>
        <w:tc>
          <w:tcPr>
            <w:tcW w:w="1417" w:type="dxa"/>
            <w:shd w:val="clear" w:color="auto" w:fill="auto"/>
            <w:noWrap/>
            <w:vAlign w:val="center"/>
            <w:hideMark/>
          </w:tcPr>
          <w:p w14:paraId="70999D60" w14:textId="2665B29C" w:rsidR="00B04D55" w:rsidRPr="003421A1" w:rsidRDefault="00D5629D" w:rsidP="00B04D55">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heme="minorHAnsi" w:hAnsi="Arial" w:cs="Arial"/>
                <w:b/>
                <w:bCs/>
                <w:kern w:val="0"/>
                <w:sz w:val="20"/>
                <w:szCs w:val="20"/>
                <w:lang w:eastAsia="en-US"/>
              </w:rPr>
              <w:t>19.243</w:t>
            </w:r>
          </w:p>
        </w:tc>
      </w:tr>
    </w:tbl>
    <w:p w14:paraId="75CA31A1" w14:textId="77777777" w:rsidR="00033966" w:rsidRDefault="00033966" w:rsidP="0025678B">
      <w:pPr>
        <w:autoSpaceDE w:val="0"/>
        <w:autoSpaceDN w:val="0"/>
        <w:adjustRightInd w:val="0"/>
        <w:jc w:val="both"/>
        <w:rPr>
          <w:rFonts w:ascii="Arial" w:hAnsi="Arial" w:cs="Arial"/>
          <w:b/>
        </w:rPr>
      </w:pPr>
    </w:p>
    <w:p w14:paraId="36481375" w14:textId="404AD83E" w:rsidR="00C40F86" w:rsidRPr="003234C5" w:rsidRDefault="0025678B" w:rsidP="0025678B">
      <w:pPr>
        <w:autoSpaceDE w:val="0"/>
        <w:autoSpaceDN w:val="0"/>
        <w:adjustRightInd w:val="0"/>
        <w:jc w:val="both"/>
        <w:rPr>
          <w:rFonts w:ascii="Arial" w:hAnsi="Arial" w:cs="Arial"/>
          <w:b/>
        </w:rPr>
      </w:pPr>
      <w:r w:rsidRPr="003234C5">
        <w:rPr>
          <w:rFonts w:ascii="Arial" w:hAnsi="Arial" w:cs="Arial"/>
          <w:b/>
        </w:rPr>
        <w:t>(</w:t>
      </w:r>
      <w:proofErr w:type="spellStart"/>
      <w:r w:rsidRPr="003234C5">
        <w:rPr>
          <w:rFonts w:ascii="Arial" w:hAnsi="Arial" w:cs="Arial"/>
          <w:b/>
        </w:rPr>
        <w:t>iii</w:t>
      </w:r>
      <w:proofErr w:type="spellEnd"/>
      <w:r w:rsidRPr="003234C5">
        <w:rPr>
          <w:rFonts w:ascii="Arial" w:hAnsi="Arial" w:cs="Arial"/>
          <w:b/>
        </w:rPr>
        <w:t>) Risco de mercado</w:t>
      </w:r>
    </w:p>
    <w:p w14:paraId="6DD1931F" w14:textId="5D4068FE" w:rsidR="00C53C10" w:rsidRPr="003234C5" w:rsidRDefault="007550A5" w:rsidP="007550A5">
      <w:pPr>
        <w:spacing w:after="0"/>
        <w:jc w:val="both"/>
        <w:rPr>
          <w:rFonts w:ascii="Arial" w:hAnsi="Arial" w:cs="Arial"/>
        </w:rPr>
      </w:pPr>
      <w:r w:rsidRPr="003234C5">
        <w:rPr>
          <w:rFonts w:ascii="Arial" w:hAnsi="Arial" w:cs="Arial"/>
        </w:rPr>
        <w:t>Risco de mercado é o risco de que alterações nos preços de mercado - tais como taxas de câmbio, taxas de juros e preços de ações - irão afetar os ganhos da Companhia ou o valor de seus instrumentos financeiros. O objetivo do gerenciamento de risco de mercado é gerenciar e controlar as exposições a riscos de mercado, dentro de parâmetros aceitáveis, e ao mesmo tempo otimizar o retorno.</w:t>
      </w:r>
    </w:p>
    <w:p w14:paraId="6D75478C" w14:textId="4746BB92" w:rsidR="00883092" w:rsidRPr="003234C5" w:rsidRDefault="00883092" w:rsidP="007550A5">
      <w:pPr>
        <w:spacing w:after="0"/>
        <w:jc w:val="both"/>
        <w:rPr>
          <w:rFonts w:ascii="Arial" w:hAnsi="Arial" w:cs="Arial"/>
        </w:rPr>
      </w:pPr>
    </w:p>
    <w:p w14:paraId="20D06A0A" w14:textId="371FF3A5" w:rsidR="00D33D59" w:rsidRDefault="00883092" w:rsidP="007550A5">
      <w:pPr>
        <w:spacing w:after="0"/>
        <w:jc w:val="both"/>
        <w:rPr>
          <w:rFonts w:ascii="Arial" w:hAnsi="Arial" w:cs="Arial"/>
        </w:rPr>
      </w:pPr>
      <w:r w:rsidRPr="003234C5">
        <w:rPr>
          <w:rFonts w:ascii="Arial" w:hAnsi="Arial" w:cs="Arial"/>
        </w:rPr>
        <w:t xml:space="preserve">A Companhia possui aplicações financeiras indexadas </w:t>
      </w:r>
      <w:r w:rsidR="003D16D6">
        <w:rPr>
          <w:rFonts w:ascii="Arial" w:hAnsi="Arial" w:cs="Arial"/>
        </w:rPr>
        <w:t>à</w:t>
      </w:r>
      <w:r w:rsidRPr="003234C5">
        <w:rPr>
          <w:rFonts w:ascii="Arial" w:hAnsi="Arial" w:cs="Arial"/>
        </w:rPr>
        <w:t xml:space="preserve"> variação do CDI, expondo este ativo financeiro às flutuações nas taxas de juros conforme demonstrado no quadro de sensibilidade a seguir</w:t>
      </w:r>
      <w:r w:rsidR="006F41B5" w:rsidRPr="003234C5">
        <w:rPr>
          <w:rFonts w:ascii="Arial" w:hAnsi="Arial" w:cs="Arial"/>
        </w:rPr>
        <w:t>:</w:t>
      </w:r>
    </w:p>
    <w:p w14:paraId="2A133C8B" w14:textId="00F6BED9" w:rsidR="00033966" w:rsidRDefault="00033966" w:rsidP="007550A5">
      <w:pPr>
        <w:spacing w:after="0"/>
        <w:jc w:val="both"/>
        <w:rPr>
          <w:rFonts w:ascii="Arial" w:hAnsi="Arial" w:cs="Arial"/>
        </w:rPr>
      </w:pPr>
    </w:p>
    <w:p w14:paraId="1DA2C584" w14:textId="77777777" w:rsidR="00033966" w:rsidRDefault="00033966" w:rsidP="007550A5">
      <w:pPr>
        <w:spacing w:after="0"/>
        <w:jc w:val="both"/>
        <w:rPr>
          <w:rFonts w:ascii="Arial" w:hAnsi="Arial" w:cs="Arial"/>
        </w:rPr>
      </w:pPr>
    </w:p>
    <w:p w14:paraId="4E410CBB" w14:textId="59B9F9A1" w:rsidR="00033966" w:rsidRDefault="00033966" w:rsidP="007550A5">
      <w:pPr>
        <w:spacing w:after="0"/>
        <w:jc w:val="both"/>
        <w:rPr>
          <w:rFonts w:ascii="Arial" w:hAnsi="Arial" w:cs="Arial"/>
        </w:rPr>
      </w:pPr>
    </w:p>
    <w:p w14:paraId="4EAA8235" w14:textId="77777777" w:rsidR="00033966" w:rsidRPr="003234C5" w:rsidRDefault="00033966" w:rsidP="007550A5">
      <w:pPr>
        <w:spacing w:after="0"/>
        <w:jc w:val="both"/>
        <w:rPr>
          <w:rFonts w:ascii="Arial" w:hAnsi="Arial" w:cs="Arial"/>
        </w:rPr>
      </w:pPr>
    </w:p>
    <w:tbl>
      <w:tblPr>
        <w:tblStyle w:val="Tabelacomgrade"/>
        <w:tblW w:w="9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98"/>
        <w:gridCol w:w="825"/>
        <w:gridCol w:w="847"/>
        <w:gridCol w:w="1132"/>
        <w:gridCol w:w="992"/>
        <w:gridCol w:w="995"/>
        <w:gridCol w:w="986"/>
        <w:gridCol w:w="850"/>
      </w:tblGrid>
      <w:tr w:rsidR="00672804" w14:paraId="3FC51A89" w14:textId="77777777" w:rsidTr="008C71D1">
        <w:trPr>
          <w:trHeight w:val="251"/>
        </w:trPr>
        <w:tc>
          <w:tcPr>
            <w:tcW w:w="2398" w:type="dxa"/>
            <w:shd w:val="clear" w:color="auto" w:fill="auto"/>
          </w:tcPr>
          <w:p w14:paraId="272D8740" w14:textId="77777777" w:rsidR="00672804" w:rsidRPr="00003B53" w:rsidRDefault="00672804" w:rsidP="00672804">
            <w:pPr>
              <w:autoSpaceDE w:val="0"/>
              <w:autoSpaceDN w:val="0"/>
              <w:adjustRightInd w:val="0"/>
              <w:spacing w:after="0"/>
              <w:jc w:val="both"/>
              <w:rPr>
                <w:rFonts w:ascii="Arial" w:hAnsi="Arial" w:cs="Arial"/>
                <w:b/>
                <w:sz w:val="20"/>
                <w:szCs w:val="20"/>
              </w:rPr>
            </w:pPr>
            <w:bookmarkStart w:id="47" w:name="_Hlk31845032"/>
          </w:p>
        </w:tc>
        <w:tc>
          <w:tcPr>
            <w:tcW w:w="825" w:type="dxa"/>
            <w:shd w:val="clear" w:color="auto" w:fill="auto"/>
          </w:tcPr>
          <w:p w14:paraId="18AA799E" w14:textId="77777777" w:rsidR="00672804" w:rsidRPr="00003B53" w:rsidRDefault="00672804" w:rsidP="00672804">
            <w:pPr>
              <w:autoSpaceDE w:val="0"/>
              <w:autoSpaceDN w:val="0"/>
              <w:adjustRightInd w:val="0"/>
              <w:spacing w:after="0"/>
              <w:jc w:val="both"/>
              <w:rPr>
                <w:rFonts w:ascii="Arial" w:hAnsi="Arial" w:cs="Arial"/>
                <w:b/>
                <w:sz w:val="20"/>
                <w:szCs w:val="20"/>
              </w:rPr>
            </w:pPr>
          </w:p>
        </w:tc>
        <w:tc>
          <w:tcPr>
            <w:tcW w:w="847" w:type="dxa"/>
            <w:shd w:val="clear" w:color="auto" w:fill="auto"/>
          </w:tcPr>
          <w:p w14:paraId="5F08744B" w14:textId="77777777" w:rsidR="00672804" w:rsidRPr="00003B53" w:rsidRDefault="00672804" w:rsidP="00672804">
            <w:pPr>
              <w:autoSpaceDE w:val="0"/>
              <w:autoSpaceDN w:val="0"/>
              <w:adjustRightInd w:val="0"/>
              <w:spacing w:after="0"/>
              <w:jc w:val="both"/>
              <w:rPr>
                <w:rFonts w:ascii="Arial" w:hAnsi="Arial" w:cs="Arial"/>
                <w:b/>
                <w:sz w:val="20"/>
                <w:szCs w:val="20"/>
              </w:rPr>
            </w:pPr>
          </w:p>
        </w:tc>
        <w:tc>
          <w:tcPr>
            <w:tcW w:w="1130" w:type="dxa"/>
            <w:shd w:val="clear" w:color="auto" w:fill="auto"/>
          </w:tcPr>
          <w:p w14:paraId="62624F8A" w14:textId="77777777" w:rsidR="00672804" w:rsidRPr="00003B53" w:rsidRDefault="00672804" w:rsidP="00672804">
            <w:pPr>
              <w:autoSpaceDE w:val="0"/>
              <w:autoSpaceDN w:val="0"/>
              <w:adjustRightInd w:val="0"/>
              <w:spacing w:after="0"/>
              <w:jc w:val="both"/>
              <w:rPr>
                <w:rFonts w:ascii="Arial" w:hAnsi="Arial" w:cs="Arial"/>
                <w:b/>
                <w:sz w:val="20"/>
                <w:szCs w:val="20"/>
              </w:rPr>
            </w:pPr>
          </w:p>
        </w:tc>
        <w:tc>
          <w:tcPr>
            <w:tcW w:w="3823" w:type="dxa"/>
            <w:gridSpan w:val="4"/>
            <w:tcBorders>
              <w:bottom w:val="single" w:sz="4" w:space="0" w:color="auto"/>
            </w:tcBorders>
            <w:shd w:val="clear" w:color="auto" w:fill="auto"/>
          </w:tcPr>
          <w:p w14:paraId="37151B4D" w14:textId="35FFEB40" w:rsidR="00672804" w:rsidRPr="00003B53" w:rsidRDefault="00672804" w:rsidP="00672804">
            <w:pPr>
              <w:autoSpaceDE w:val="0"/>
              <w:autoSpaceDN w:val="0"/>
              <w:adjustRightInd w:val="0"/>
              <w:spacing w:after="0"/>
              <w:jc w:val="center"/>
              <w:rPr>
                <w:rFonts w:ascii="Arial" w:hAnsi="Arial" w:cs="Arial"/>
                <w:b/>
                <w:sz w:val="20"/>
                <w:szCs w:val="20"/>
              </w:rPr>
            </w:pPr>
            <w:r w:rsidRPr="0033702F">
              <w:rPr>
                <w:rFonts w:ascii="Arial" w:hAnsi="Arial" w:cs="Arial"/>
                <w:b/>
                <w:sz w:val="20"/>
                <w:szCs w:val="20"/>
              </w:rPr>
              <w:t>Cenários</w:t>
            </w:r>
          </w:p>
        </w:tc>
      </w:tr>
      <w:bookmarkEnd w:id="47"/>
      <w:tr w:rsidR="002F61DD" w14:paraId="16D55780" w14:textId="77777777" w:rsidTr="008C71D1">
        <w:trPr>
          <w:trHeight w:val="503"/>
        </w:trPr>
        <w:tc>
          <w:tcPr>
            <w:tcW w:w="2398" w:type="dxa"/>
            <w:shd w:val="clear" w:color="auto" w:fill="FFFFFF" w:themeFill="background1"/>
          </w:tcPr>
          <w:p w14:paraId="0B67A25B" w14:textId="77777777" w:rsidR="002F61DD" w:rsidRPr="00003B53" w:rsidRDefault="002F61DD" w:rsidP="00003B53">
            <w:pPr>
              <w:autoSpaceDE w:val="0"/>
              <w:autoSpaceDN w:val="0"/>
              <w:adjustRightInd w:val="0"/>
              <w:spacing w:after="0"/>
              <w:jc w:val="both"/>
              <w:rPr>
                <w:rFonts w:ascii="Arial" w:hAnsi="Arial" w:cs="Arial"/>
                <w:b/>
                <w:sz w:val="20"/>
                <w:szCs w:val="20"/>
              </w:rPr>
            </w:pPr>
          </w:p>
        </w:tc>
        <w:tc>
          <w:tcPr>
            <w:tcW w:w="825" w:type="dxa"/>
            <w:shd w:val="clear" w:color="auto" w:fill="FFFFFF" w:themeFill="background1"/>
          </w:tcPr>
          <w:p w14:paraId="21CC2599" w14:textId="77777777" w:rsidR="002F61DD" w:rsidRPr="00003B53" w:rsidRDefault="002F61DD" w:rsidP="00003B53">
            <w:pPr>
              <w:autoSpaceDE w:val="0"/>
              <w:autoSpaceDN w:val="0"/>
              <w:adjustRightInd w:val="0"/>
              <w:spacing w:after="0"/>
              <w:jc w:val="both"/>
              <w:rPr>
                <w:rFonts w:ascii="Arial" w:hAnsi="Arial" w:cs="Arial"/>
                <w:b/>
                <w:sz w:val="20"/>
                <w:szCs w:val="20"/>
              </w:rPr>
            </w:pPr>
          </w:p>
        </w:tc>
        <w:tc>
          <w:tcPr>
            <w:tcW w:w="847" w:type="dxa"/>
            <w:shd w:val="clear" w:color="auto" w:fill="FFFFFF" w:themeFill="background1"/>
          </w:tcPr>
          <w:p w14:paraId="2FCB1C53" w14:textId="77777777" w:rsidR="002F61DD" w:rsidRPr="00003B53" w:rsidRDefault="002F61DD" w:rsidP="00003B53">
            <w:pPr>
              <w:autoSpaceDE w:val="0"/>
              <w:autoSpaceDN w:val="0"/>
              <w:adjustRightInd w:val="0"/>
              <w:spacing w:after="0"/>
              <w:jc w:val="both"/>
              <w:rPr>
                <w:rFonts w:ascii="Arial" w:hAnsi="Arial" w:cs="Arial"/>
                <w:b/>
                <w:sz w:val="20"/>
                <w:szCs w:val="20"/>
              </w:rPr>
            </w:pPr>
          </w:p>
        </w:tc>
        <w:tc>
          <w:tcPr>
            <w:tcW w:w="1130" w:type="dxa"/>
            <w:shd w:val="clear" w:color="auto" w:fill="FFFFFF" w:themeFill="background1"/>
          </w:tcPr>
          <w:p w14:paraId="1E0A6968" w14:textId="77777777" w:rsidR="002F61DD" w:rsidRPr="00003B53" w:rsidRDefault="002F61DD" w:rsidP="00003B53">
            <w:pPr>
              <w:autoSpaceDE w:val="0"/>
              <w:autoSpaceDN w:val="0"/>
              <w:adjustRightInd w:val="0"/>
              <w:spacing w:after="0"/>
              <w:jc w:val="both"/>
              <w:rPr>
                <w:rFonts w:ascii="Arial" w:hAnsi="Arial" w:cs="Arial"/>
                <w:b/>
                <w:sz w:val="20"/>
                <w:szCs w:val="20"/>
              </w:rPr>
            </w:pPr>
          </w:p>
        </w:tc>
        <w:tc>
          <w:tcPr>
            <w:tcW w:w="1987" w:type="dxa"/>
            <w:gridSpan w:val="2"/>
            <w:tcBorders>
              <w:top w:val="single" w:sz="4" w:space="0" w:color="auto"/>
              <w:bottom w:val="single" w:sz="4" w:space="0" w:color="auto"/>
            </w:tcBorders>
            <w:shd w:val="clear" w:color="auto" w:fill="FFFFFF" w:themeFill="background1"/>
          </w:tcPr>
          <w:p w14:paraId="107A78AD" w14:textId="1580B96E" w:rsidR="002F61DD" w:rsidRPr="00003B53" w:rsidRDefault="002F61DD" w:rsidP="00003B53">
            <w:pPr>
              <w:autoSpaceDE w:val="0"/>
              <w:autoSpaceDN w:val="0"/>
              <w:adjustRightInd w:val="0"/>
              <w:spacing w:after="0"/>
              <w:jc w:val="center"/>
              <w:rPr>
                <w:rFonts w:ascii="Arial" w:hAnsi="Arial" w:cs="Arial"/>
                <w:b/>
                <w:sz w:val="20"/>
                <w:szCs w:val="20"/>
              </w:rPr>
            </w:pPr>
            <w:r w:rsidRPr="00003B53">
              <w:rPr>
                <w:rFonts w:ascii="Arial" w:hAnsi="Arial" w:cs="Arial"/>
                <w:b/>
                <w:sz w:val="20"/>
                <w:szCs w:val="20"/>
              </w:rPr>
              <w:t>Elevação do índice em 25%</w:t>
            </w:r>
          </w:p>
        </w:tc>
        <w:tc>
          <w:tcPr>
            <w:tcW w:w="1835" w:type="dxa"/>
            <w:gridSpan w:val="2"/>
            <w:tcBorders>
              <w:top w:val="single" w:sz="4" w:space="0" w:color="auto"/>
              <w:bottom w:val="single" w:sz="4" w:space="0" w:color="auto"/>
            </w:tcBorders>
            <w:shd w:val="clear" w:color="auto" w:fill="FFFFFF" w:themeFill="background1"/>
          </w:tcPr>
          <w:p w14:paraId="457439AC" w14:textId="44C276B7" w:rsidR="002F61DD" w:rsidRPr="00003B53" w:rsidRDefault="002F61DD" w:rsidP="00003B53">
            <w:pPr>
              <w:autoSpaceDE w:val="0"/>
              <w:autoSpaceDN w:val="0"/>
              <w:adjustRightInd w:val="0"/>
              <w:spacing w:after="0"/>
              <w:jc w:val="center"/>
              <w:rPr>
                <w:rFonts w:ascii="Arial" w:hAnsi="Arial" w:cs="Arial"/>
                <w:b/>
                <w:sz w:val="20"/>
                <w:szCs w:val="20"/>
              </w:rPr>
            </w:pPr>
            <w:r w:rsidRPr="00003B53">
              <w:rPr>
                <w:rFonts w:ascii="Arial" w:hAnsi="Arial" w:cs="Arial"/>
                <w:b/>
                <w:sz w:val="20"/>
                <w:szCs w:val="20"/>
              </w:rPr>
              <w:t>Elevação do índice em 50%</w:t>
            </w:r>
          </w:p>
        </w:tc>
      </w:tr>
      <w:tr w:rsidR="002F61DD" w14:paraId="3B0A67F3" w14:textId="04338E59" w:rsidTr="008C71D1">
        <w:trPr>
          <w:trHeight w:val="251"/>
        </w:trPr>
        <w:tc>
          <w:tcPr>
            <w:tcW w:w="2398" w:type="dxa"/>
            <w:tcBorders>
              <w:bottom w:val="single" w:sz="4" w:space="0" w:color="auto"/>
            </w:tcBorders>
            <w:shd w:val="clear" w:color="auto" w:fill="FFFFFF" w:themeFill="background1"/>
          </w:tcPr>
          <w:p w14:paraId="17B7D1B5" w14:textId="5D838E90" w:rsidR="002F61DD" w:rsidRPr="00003B53" w:rsidRDefault="002F61DD" w:rsidP="002F61DD">
            <w:pPr>
              <w:autoSpaceDE w:val="0"/>
              <w:autoSpaceDN w:val="0"/>
              <w:adjustRightInd w:val="0"/>
              <w:spacing w:after="0"/>
              <w:jc w:val="both"/>
              <w:rPr>
                <w:rFonts w:ascii="Arial" w:hAnsi="Arial" w:cs="Arial"/>
                <w:b/>
                <w:sz w:val="20"/>
                <w:szCs w:val="20"/>
              </w:rPr>
            </w:pPr>
            <w:r w:rsidRPr="00003B53">
              <w:rPr>
                <w:rFonts w:ascii="Arial" w:hAnsi="Arial" w:cs="Arial"/>
                <w:b/>
                <w:sz w:val="20"/>
                <w:szCs w:val="20"/>
              </w:rPr>
              <w:t xml:space="preserve">Instrumentos </w:t>
            </w:r>
          </w:p>
        </w:tc>
        <w:tc>
          <w:tcPr>
            <w:tcW w:w="825" w:type="dxa"/>
            <w:tcBorders>
              <w:bottom w:val="single" w:sz="4" w:space="0" w:color="auto"/>
            </w:tcBorders>
            <w:shd w:val="clear" w:color="auto" w:fill="FFFFFF" w:themeFill="background1"/>
          </w:tcPr>
          <w:p w14:paraId="01F4BFC9" w14:textId="2187FA7A" w:rsidR="002F61DD" w:rsidRPr="00003B53" w:rsidRDefault="002F61DD" w:rsidP="002F61DD">
            <w:pPr>
              <w:autoSpaceDE w:val="0"/>
              <w:autoSpaceDN w:val="0"/>
              <w:adjustRightInd w:val="0"/>
              <w:spacing w:after="0"/>
              <w:jc w:val="both"/>
              <w:rPr>
                <w:rFonts w:ascii="Arial" w:hAnsi="Arial" w:cs="Arial"/>
                <w:b/>
                <w:sz w:val="20"/>
                <w:szCs w:val="20"/>
              </w:rPr>
            </w:pPr>
            <w:r w:rsidRPr="00003B53">
              <w:rPr>
                <w:rFonts w:ascii="Arial" w:hAnsi="Arial" w:cs="Arial"/>
                <w:b/>
                <w:sz w:val="20"/>
                <w:szCs w:val="20"/>
              </w:rPr>
              <w:t>2019</w:t>
            </w:r>
          </w:p>
        </w:tc>
        <w:tc>
          <w:tcPr>
            <w:tcW w:w="847" w:type="dxa"/>
            <w:tcBorders>
              <w:bottom w:val="single" w:sz="4" w:space="0" w:color="auto"/>
            </w:tcBorders>
            <w:shd w:val="clear" w:color="auto" w:fill="FFFFFF" w:themeFill="background1"/>
          </w:tcPr>
          <w:p w14:paraId="256E29E2" w14:textId="72E01AC5" w:rsidR="002F61DD" w:rsidRPr="00003B53" w:rsidRDefault="002F61DD" w:rsidP="002F61DD">
            <w:pPr>
              <w:autoSpaceDE w:val="0"/>
              <w:autoSpaceDN w:val="0"/>
              <w:adjustRightInd w:val="0"/>
              <w:spacing w:after="0"/>
              <w:jc w:val="both"/>
              <w:rPr>
                <w:rFonts w:ascii="Arial" w:hAnsi="Arial" w:cs="Arial"/>
                <w:b/>
                <w:sz w:val="20"/>
                <w:szCs w:val="20"/>
              </w:rPr>
            </w:pPr>
            <w:r w:rsidRPr="00003B53">
              <w:rPr>
                <w:rFonts w:ascii="Arial" w:hAnsi="Arial" w:cs="Arial"/>
                <w:b/>
                <w:sz w:val="20"/>
                <w:szCs w:val="20"/>
              </w:rPr>
              <w:t>Risco</w:t>
            </w:r>
          </w:p>
        </w:tc>
        <w:tc>
          <w:tcPr>
            <w:tcW w:w="1130" w:type="dxa"/>
            <w:tcBorders>
              <w:bottom w:val="single" w:sz="4" w:space="0" w:color="auto"/>
            </w:tcBorders>
            <w:shd w:val="clear" w:color="auto" w:fill="FFFFFF" w:themeFill="background1"/>
          </w:tcPr>
          <w:p w14:paraId="0E498EDC" w14:textId="22FF69FF" w:rsidR="002F61DD" w:rsidRPr="00003B53" w:rsidRDefault="002F61DD" w:rsidP="002F61DD">
            <w:pPr>
              <w:autoSpaceDE w:val="0"/>
              <w:autoSpaceDN w:val="0"/>
              <w:adjustRightInd w:val="0"/>
              <w:spacing w:after="0"/>
              <w:jc w:val="both"/>
              <w:rPr>
                <w:rFonts w:ascii="Arial" w:hAnsi="Arial" w:cs="Arial"/>
                <w:b/>
                <w:sz w:val="20"/>
                <w:szCs w:val="20"/>
              </w:rPr>
            </w:pPr>
            <w:r w:rsidRPr="00003B53">
              <w:rPr>
                <w:rFonts w:ascii="Arial" w:hAnsi="Arial" w:cs="Arial"/>
                <w:b/>
                <w:sz w:val="20"/>
                <w:szCs w:val="20"/>
              </w:rPr>
              <w:t xml:space="preserve">% </w:t>
            </w:r>
            <w:proofErr w:type="spellStart"/>
            <w:r w:rsidRPr="00003B53">
              <w:rPr>
                <w:rFonts w:ascii="Arial" w:hAnsi="Arial" w:cs="Arial"/>
                <w:b/>
                <w:sz w:val="20"/>
                <w:szCs w:val="20"/>
              </w:rPr>
              <w:t>a.a</w:t>
            </w:r>
            <w:proofErr w:type="spellEnd"/>
            <w:r w:rsidRPr="00003B53">
              <w:rPr>
                <w:rFonts w:ascii="Arial" w:hAnsi="Arial" w:cs="Arial"/>
                <w:b/>
                <w:sz w:val="20"/>
                <w:szCs w:val="20"/>
              </w:rPr>
              <w:t xml:space="preserve"> (a)</w:t>
            </w:r>
          </w:p>
        </w:tc>
        <w:tc>
          <w:tcPr>
            <w:tcW w:w="992" w:type="dxa"/>
            <w:tcBorders>
              <w:top w:val="single" w:sz="4" w:space="0" w:color="auto"/>
              <w:bottom w:val="single" w:sz="4" w:space="0" w:color="auto"/>
            </w:tcBorders>
            <w:shd w:val="clear" w:color="auto" w:fill="FFFFFF" w:themeFill="background1"/>
          </w:tcPr>
          <w:p w14:paraId="08019DA8" w14:textId="218F4661" w:rsidR="002F61DD" w:rsidRPr="002F61DD" w:rsidRDefault="002F61DD" w:rsidP="002F61DD">
            <w:pPr>
              <w:autoSpaceDE w:val="0"/>
              <w:autoSpaceDN w:val="0"/>
              <w:adjustRightInd w:val="0"/>
              <w:spacing w:after="0"/>
              <w:jc w:val="center"/>
              <w:rPr>
                <w:rFonts w:ascii="Arial" w:hAnsi="Arial" w:cs="Arial"/>
                <w:b/>
                <w:sz w:val="20"/>
                <w:szCs w:val="20"/>
              </w:rPr>
            </w:pPr>
            <w:r w:rsidRPr="002F61DD">
              <w:rPr>
                <w:rFonts w:ascii="Arial" w:hAnsi="Arial" w:cs="Arial"/>
                <w:b/>
                <w:sz w:val="20"/>
                <w:szCs w:val="20"/>
              </w:rPr>
              <w:t>%</w:t>
            </w:r>
          </w:p>
        </w:tc>
        <w:tc>
          <w:tcPr>
            <w:tcW w:w="995" w:type="dxa"/>
            <w:tcBorders>
              <w:top w:val="single" w:sz="4" w:space="0" w:color="auto"/>
              <w:bottom w:val="single" w:sz="4" w:space="0" w:color="auto"/>
            </w:tcBorders>
            <w:shd w:val="clear" w:color="auto" w:fill="FFFFFF" w:themeFill="background1"/>
          </w:tcPr>
          <w:p w14:paraId="36FA4A8A" w14:textId="46CB730B" w:rsidR="002F61DD" w:rsidRPr="002F61DD" w:rsidRDefault="002F61DD" w:rsidP="002F61DD">
            <w:pPr>
              <w:autoSpaceDE w:val="0"/>
              <w:autoSpaceDN w:val="0"/>
              <w:adjustRightInd w:val="0"/>
              <w:spacing w:after="0"/>
              <w:jc w:val="center"/>
              <w:rPr>
                <w:rFonts w:ascii="Arial" w:hAnsi="Arial" w:cs="Arial"/>
                <w:b/>
                <w:sz w:val="20"/>
                <w:szCs w:val="20"/>
              </w:rPr>
            </w:pPr>
            <w:r w:rsidRPr="002F61DD">
              <w:rPr>
                <w:rFonts w:ascii="Arial" w:hAnsi="Arial" w:cs="Arial"/>
                <w:b/>
                <w:sz w:val="20"/>
                <w:szCs w:val="20"/>
              </w:rPr>
              <w:t>Valor</w:t>
            </w:r>
          </w:p>
        </w:tc>
        <w:tc>
          <w:tcPr>
            <w:tcW w:w="986" w:type="dxa"/>
            <w:tcBorders>
              <w:top w:val="single" w:sz="4" w:space="0" w:color="auto"/>
              <w:bottom w:val="single" w:sz="4" w:space="0" w:color="auto"/>
            </w:tcBorders>
            <w:shd w:val="clear" w:color="auto" w:fill="FFFFFF" w:themeFill="background1"/>
          </w:tcPr>
          <w:p w14:paraId="22122E70" w14:textId="2F11FB98" w:rsidR="002F61DD" w:rsidRPr="002F61DD" w:rsidRDefault="002F61DD" w:rsidP="002F61DD">
            <w:pPr>
              <w:autoSpaceDE w:val="0"/>
              <w:autoSpaceDN w:val="0"/>
              <w:adjustRightInd w:val="0"/>
              <w:spacing w:after="0"/>
              <w:jc w:val="center"/>
              <w:rPr>
                <w:rFonts w:ascii="Arial" w:hAnsi="Arial" w:cs="Arial"/>
                <w:b/>
                <w:sz w:val="20"/>
                <w:szCs w:val="20"/>
              </w:rPr>
            </w:pPr>
            <w:r w:rsidRPr="002F61DD">
              <w:rPr>
                <w:rFonts w:ascii="Arial" w:hAnsi="Arial" w:cs="Arial"/>
                <w:b/>
                <w:sz w:val="20"/>
                <w:szCs w:val="20"/>
              </w:rPr>
              <w:t>%</w:t>
            </w:r>
          </w:p>
        </w:tc>
        <w:tc>
          <w:tcPr>
            <w:tcW w:w="849" w:type="dxa"/>
            <w:tcBorders>
              <w:top w:val="single" w:sz="4" w:space="0" w:color="auto"/>
              <w:bottom w:val="single" w:sz="4" w:space="0" w:color="auto"/>
            </w:tcBorders>
            <w:shd w:val="clear" w:color="auto" w:fill="FFFFFF" w:themeFill="background1"/>
          </w:tcPr>
          <w:p w14:paraId="48E8AF65" w14:textId="5FEDC1D2" w:rsidR="002F61DD" w:rsidRPr="002F61DD" w:rsidRDefault="002F61DD" w:rsidP="002F61DD">
            <w:pPr>
              <w:autoSpaceDE w:val="0"/>
              <w:autoSpaceDN w:val="0"/>
              <w:adjustRightInd w:val="0"/>
              <w:spacing w:after="0"/>
              <w:jc w:val="center"/>
              <w:rPr>
                <w:rFonts w:ascii="Arial" w:hAnsi="Arial" w:cs="Arial"/>
                <w:b/>
                <w:sz w:val="20"/>
                <w:szCs w:val="20"/>
              </w:rPr>
            </w:pPr>
            <w:r w:rsidRPr="002F61DD">
              <w:rPr>
                <w:rFonts w:ascii="Arial" w:hAnsi="Arial" w:cs="Arial"/>
                <w:b/>
                <w:sz w:val="20"/>
                <w:szCs w:val="20"/>
              </w:rPr>
              <w:t>Valor</w:t>
            </w:r>
          </w:p>
        </w:tc>
      </w:tr>
      <w:tr w:rsidR="0070378E" w:rsidRPr="003421A1" w14:paraId="651E6D64" w14:textId="583E6998" w:rsidTr="008C71D1">
        <w:trPr>
          <w:trHeight w:val="503"/>
        </w:trPr>
        <w:tc>
          <w:tcPr>
            <w:tcW w:w="2398" w:type="dxa"/>
            <w:tcBorders>
              <w:top w:val="single" w:sz="4" w:space="0" w:color="auto"/>
            </w:tcBorders>
          </w:tcPr>
          <w:p w14:paraId="3B703108" w14:textId="77777777" w:rsidR="002F61DD" w:rsidRPr="003421A1" w:rsidRDefault="002F61DD" w:rsidP="002F61DD">
            <w:pPr>
              <w:autoSpaceDE w:val="0"/>
              <w:autoSpaceDN w:val="0"/>
              <w:adjustRightInd w:val="0"/>
              <w:spacing w:after="0"/>
              <w:jc w:val="both"/>
              <w:rPr>
                <w:rFonts w:ascii="Arial" w:hAnsi="Arial" w:cs="Arial"/>
                <w:b/>
                <w:sz w:val="20"/>
                <w:szCs w:val="20"/>
              </w:rPr>
            </w:pPr>
            <w:r w:rsidRPr="003421A1">
              <w:rPr>
                <w:rFonts w:ascii="Arial" w:hAnsi="Arial" w:cs="Arial"/>
                <w:b/>
                <w:sz w:val="20"/>
                <w:szCs w:val="20"/>
              </w:rPr>
              <w:t>Ativo Financeiro</w:t>
            </w:r>
          </w:p>
          <w:p w14:paraId="1942AAA0" w14:textId="5A15D313" w:rsidR="002F61DD" w:rsidRPr="003421A1" w:rsidRDefault="002F61DD" w:rsidP="002F61DD">
            <w:pPr>
              <w:autoSpaceDE w:val="0"/>
              <w:autoSpaceDN w:val="0"/>
              <w:adjustRightInd w:val="0"/>
              <w:spacing w:after="0"/>
              <w:jc w:val="both"/>
              <w:rPr>
                <w:rFonts w:ascii="Arial" w:hAnsi="Arial" w:cs="Arial"/>
                <w:b/>
                <w:sz w:val="20"/>
                <w:szCs w:val="20"/>
              </w:rPr>
            </w:pPr>
            <w:r w:rsidRPr="003421A1">
              <w:rPr>
                <w:rFonts w:ascii="Arial" w:hAnsi="Arial" w:cs="Arial"/>
                <w:bCs/>
                <w:sz w:val="20"/>
                <w:szCs w:val="20"/>
              </w:rPr>
              <w:t>Aplicação Financeira (b)</w:t>
            </w:r>
          </w:p>
        </w:tc>
        <w:tc>
          <w:tcPr>
            <w:tcW w:w="825" w:type="dxa"/>
            <w:tcBorders>
              <w:top w:val="single" w:sz="4" w:space="0" w:color="auto"/>
            </w:tcBorders>
          </w:tcPr>
          <w:p w14:paraId="2D986B55" w14:textId="3793FE2D" w:rsidR="002F61DD" w:rsidRPr="003421A1" w:rsidRDefault="002F61DD"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7.871</w:t>
            </w:r>
          </w:p>
        </w:tc>
        <w:tc>
          <w:tcPr>
            <w:tcW w:w="847" w:type="dxa"/>
            <w:tcBorders>
              <w:top w:val="single" w:sz="4" w:space="0" w:color="auto"/>
            </w:tcBorders>
          </w:tcPr>
          <w:p w14:paraId="4B5A5FFD" w14:textId="73E110CC" w:rsidR="002F61DD" w:rsidRPr="003421A1" w:rsidRDefault="002F61DD"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CDI</w:t>
            </w:r>
          </w:p>
        </w:tc>
        <w:tc>
          <w:tcPr>
            <w:tcW w:w="1130" w:type="dxa"/>
            <w:tcBorders>
              <w:top w:val="single" w:sz="4" w:space="0" w:color="auto"/>
            </w:tcBorders>
          </w:tcPr>
          <w:p w14:paraId="65214B05" w14:textId="6CC0E5CF" w:rsidR="002F61DD" w:rsidRPr="003421A1" w:rsidRDefault="003421A1"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4,52</w:t>
            </w:r>
            <w:r w:rsidR="002F61DD" w:rsidRPr="003421A1">
              <w:rPr>
                <w:rFonts w:ascii="Arial" w:hAnsi="Arial" w:cs="Arial"/>
                <w:bCs/>
                <w:sz w:val="20"/>
                <w:szCs w:val="20"/>
              </w:rPr>
              <w:t>%</w:t>
            </w:r>
          </w:p>
        </w:tc>
        <w:tc>
          <w:tcPr>
            <w:tcW w:w="992" w:type="dxa"/>
            <w:tcBorders>
              <w:top w:val="single" w:sz="4" w:space="0" w:color="auto"/>
            </w:tcBorders>
          </w:tcPr>
          <w:p w14:paraId="4947DE0D" w14:textId="48C709BF" w:rsidR="002F61DD" w:rsidRPr="003421A1" w:rsidRDefault="003421A1"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5,65</w:t>
            </w:r>
          </w:p>
        </w:tc>
        <w:tc>
          <w:tcPr>
            <w:tcW w:w="995" w:type="dxa"/>
            <w:tcBorders>
              <w:top w:val="single" w:sz="4" w:space="0" w:color="auto"/>
            </w:tcBorders>
          </w:tcPr>
          <w:p w14:paraId="2BC1C4A5" w14:textId="7CC9DAF9" w:rsidR="002F61DD" w:rsidRPr="003421A1" w:rsidRDefault="003421A1"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89</w:t>
            </w:r>
          </w:p>
        </w:tc>
        <w:tc>
          <w:tcPr>
            <w:tcW w:w="986" w:type="dxa"/>
            <w:tcBorders>
              <w:top w:val="single" w:sz="4" w:space="0" w:color="auto"/>
            </w:tcBorders>
          </w:tcPr>
          <w:p w14:paraId="321CE2A9" w14:textId="179BC482" w:rsidR="002F61DD" w:rsidRPr="003421A1" w:rsidRDefault="003421A1"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6,78</w:t>
            </w:r>
          </w:p>
        </w:tc>
        <w:tc>
          <w:tcPr>
            <w:tcW w:w="849" w:type="dxa"/>
            <w:tcBorders>
              <w:top w:val="single" w:sz="4" w:space="0" w:color="auto"/>
            </w:tcBorders>
          </w:tcPr>
          <w:p w14:paraId="6D65D006" w14:textId="230D2C08" w:rsidR="002F61DD" w:rsidRPr="003421A1" w:rsidRDefault="003421A1"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178</w:t>
            </w:r>
          </w:p>
        </w:tc>
      </w:tr>
      <w:tr w:rsidR="002F61DD" w:rsidRPr="003421A1" w14:paraId="5167A085" w14:textId="5F4A9620" w:rsidTr="008C71D1">
        <w:trPr>
          <w:trHeight w:val="251"/>
        </w:trPr>
        <w:tc>
          <w:tcPr>
            <w:tcW w:w="5202" w:type="dxa"/>
            <w:gridSpan w:val="4"/>
          </w:tcPr>
          <w:p w14:paraId="7AC77886" w14:textId="77777777" w:rsidR="002F61DD" w:rsidRPr="003421A1" w:rsidRDefault="002F61DD" w:rsidP="002F61DD">
            <w:pPr>
              <w:autoSpaceDE w:val="0"/>
              <w:autoSpaceDN w:val="0"/>
              <w:adjustRightInd w:val="0"/>
              <w:spacing w:after="0"/>
              <w:jc w:val="both"/>
              <w:rPr>
                <w:rFonts w:ascii="Arial" w:hAnsi="Arial" w:cs="Arial"/>
                <w:b/>
                <w:sz w:val="20"/>
                <w:szCs w:val="20"/>
              </w:rPr>
            </w:pPr>
          </w:p>
        </w:tc>
        <w:tc>
          <w:tcPr>
            <w:tcW w:w="3823" w:type="dxa"/>
            <w:gridSpan w:val="4"/>
            <w:tcBorders>
              <w:left w:val="nil"/>
              <w:bottom w:val="single" w:sz="4" w:space="0" w:color="auto"/>
            </w:tcBorders>
          </w:tcPr>
          <w:p w14:paraId="4B6E34D9" w14:textId="162C5073"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Cenários</w:t>
            </w:r>
          </w:p>
        </w:tc>
      </w:tr>
      <w:tr w:rsidR="002F61DD" w:rsidRPr="003421A1" w14:paraId="7038B5CE" w14:textId="77777777" w:rsidTr="008C71D1">
        <w:trPr>
          <w:trHeight w:val="503"/>
        </w:trPr>
        <w:tc>
          <w:tcPr>
            <w:tcW w:w="5202" w:type="dxa"/>
            <w:gridSpan w:val="4"/>
          </w:tcPr>
          <w:p w14:paraId="14215E71" w14:textId="77777777" w:rsidR="002F61DD" w:rsidRPr="003421A1" w:rsidRDefault="002F61DD" w:rsidP="002F61DD">
            <w:pPr>
              <w:autoSpaceDE w:val="0"/>
              <w:autoSpaceDN w:val="0"/>
              <w:adjustRightInd w:val="0"/>
              <w:spacing w:after="0"/>
              <w:jc w:val="both"/>
              <w:rPr>
                <w:rFonts w:ascii="Arial" w:hAnsi="Arial" w:cs="Arial"/>
                <w:b/>
                <w:sz w:val="20"/>
                <w:szCs w:val="20"/>
              </w:rPr>
            </w:pPr>
          </w:p>
        </w:tc>
        <w:tc>
          <w:tcPr>
            <w:tcW w:w="1987" w:type="dxa"/>
            <w:gridSpan w:val="2"/>
            <w:tcBorders>
              <w:top w:val="single" w:sz="4" w:space="0" w:color="auto"/>
              <w:left w:val="nil"/>
              <w:bottom w:val="single" w:sz="4" w:space="0" w:color="auto"/>
            </w:tcBorders>
          </w:tcPr>
          <w:p w14:paraId="46196ADD" w14:textId="141A0E98"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Redução do índice em 25%</w:t>
            </w:r>
          </w:p>
        </w:tc>
        <w:tc>
          <w:tcPr>
            <w:tcW w:w="1835" w:type="dxa"/>
            <w:gridSpan w:val="2"/>
            <w:tcBorders>
              <w:top w:val="single" w:sz="4" w:space="0" w:color="auto"/>
              <w:bottom w:val="single" w:sz="4" w:space="0" w:color="auto"/>
            </w:tcBorders>
          </w:tcPr>
          <w:p w14:paraId="5F30DA6F" w14:textId="2F5B9F2F"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Redução do índice em 50%</w:t>
            </w:r>
          </w:p>
        </w:tc>
      </w:tr>
      <w:tr w:rsidR="002F61DD" w:rsidRPr="003421A1" w14:paraId="30C50F6F" w14:textId="3827D6F3" w:rsidTr="008C71D1">
        <w:trPr>
          <w:trHeight w:val="251"/>
        </w:trPr>
        <w:tc>
          <w:tcPr>
            <w:tcW w:w="2398" w:type="dxa"/>
            <w:tcBorders>
              <w:bottom w:val="single" w:sz="4" w:space="0" w:color="auto"/>
            </w:tcBorders>
            <w:shd w:val="clear" w:color="auto" w:fill="FFFFFF" w:themeFill="background1"/>
          </w:tcPr>
          <w:p w14:paraId="11B390C2" w14:textId="79EE21F8" w:rsidR="002F61DD" w:rsidRPr="003421A1" w:rsidRDefault="002F61DD" w:rsidP="002F61DD">
            <w:pPr>
              <w:autoSpaceDE w:val="0"/>
              <w:autoSpaceDN w:val="0"/>
              <w:adjustRightInd w:val="0"/>
              <w:spacing w:after="0"/>
              <w:jc w:val="both"/>
              <w:rPr>
                <w:rFonts w:ascii="Arial" w:hAnsi="Arial" w:cs="Arial"/>
                <w:b/>
                <w:sz w:val="20"/>
                <w:szCs w:val="20"/>
              </w:rPr>
            </w:pPr>
            <w:r w:rsidRPr="003421A1">
              <w:rPr>
                <w:rFonts w:ascii="Arial" w:hAnsi="Arial" w:cs="Arial"/>
                <w:b/>
                <w:sz w:val="20"/>
                <w:szCs w:val="20"/>
              </w:rPr>
              <w:t xml:space="preserve">Instrumentos </w:t>
            </w:r>
          </w:p>
        </w:tc>
        <w:tc>
          <w:tcPr>
            <w:tcW w:w="825" w:type="dxa"/>
            <w:tcBorders>
              <w:bottom w:val="single" w:sz="4" w:space="0" w:color="auto"/>
            </w:tcBorders>
            <w:shd w:val="clear" w:color="auto" w:fill="FFFFFF" w:themeFill="background1"/>
          </w:tcPr>
          <w:p w14:paraId="559484C3" w14:textId="145BC8F8"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2019</w:t>
            </w:r>
          </w:p>
        </w:tc>
        <w:tc>
          <w:tcPr>
            <w:tcW w:w="847" w:type="dxa"/>
            <w:tcBorders>
              <w:bottom w:val="single" w:sz="4" w:space="0" w:color="auto"/>
            </w:tcBorders>
            <w:shd w:val="clear" w:color="auto" w:fill="FFFFFF" w:themeFill="background1"/>
          </w:tcPr>
          <w:p w14:paraId="29681CBA" w14:textId="59336A4E"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Risco</w:t>
            </w:r>
          </w:p>
        </w:tc>
        <w:tc>
          <w:tcPr>
            <w:tcW w:w="1130" w:type="dxa"/>
            <w:tcBorders>
              <w:bottom w:val="single" w:sz="4" w:space="0" w:color="auto"/>
            </w:tcBorders>
            <w:shd w:val="clear" w:color="auto" w:fill="FFFFFF" w:themeFill="background1"/>
          </w:tcPr>
          <w:p w14:paraId="4B06AC1E" w14:textId="3B194376"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 xml:space="preserve">% </w:t>
            </w:r>
            <w:proofErr w:type="spellStart"/>
            <w:r w:rsidRPr="003421A1">
              <w:rPr>
                <w:rFonts w:ascii="Arial" w:hAnsi="Arial" w:cs="Arial"/>
                <w:b/>
                <w:sz w:val="20"/>
                <w:szCs w:val="20"/>
              </w:rPr>
              <w:t>a.a</w:t>
            </w:r>
            <w:proofErr w:type="spellEnd"/>
            <w:r w:rsidRPr="003421A1">
              <w:rPr>
                <w:rFonts w:ascii="Arial" w:hAnsi="Arial" w:cs="Arial"/>
                <w:b/>
                <w:sz w:val="20"/>
                <w:szCs w:val="20"/>
              </w:rPr>
              <w:t xml:space="preserve"> (a)</w:t>
            </w:r>
          </w:p>
        </w:tc>
        <w:tc>
          <w:tcPr>
            <w:tcW w:w="992" w:type="dxa"/>
            <w:tcBorders>
              <w:top w:val="single" w:sz="4" w:space="0" w:color="auto"/>
              <w:bottom w:val="single" w:sz="4" w:space="0" w:color="auto"/>
            </w:tcBorders>
            <w:shd w:val="clear" w:color="auto" w:fill="FFFFFF" w:themeFill="background1"/>
          </w:tcPr>
          <w:p w14:paraId="3266D948" w14:textId="4F17086D"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w:t>
            </w:r>
          </w:p>
        </w:tc>
        <w:tc>
          <w:tcPr>
            <w:tcW w:w="995" w:type="dxa"/>
            <w:tcBorders>
              <w:top w:val="single" w:sz="4" w:space="0" w:color="auto"/>
              <w:bottom w:val="single" w:sz="4" w:space="0" w:color="auto"/>
            </w:tcBorders>
            <w:shd w:val="clear" w:color="auto" w:fill="FFFFFF" w:themeFill="background1"/>
          </w:tcPr>
          <w:p w14:paraId="2BF8B16C" w14:textId="41AB0D9F"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Valor</w:t>
            </w:r>
          </w:p>
        </w:tc>
        <w:tc>
          <w:tcPr>
            <w:tcW w:w="986" w:type="dxa"/>
            <w:tcBorders>
              <w:top w:val="single" w:sz="4" w:space="0" w:color="auto"/>
              <w:bottom w:val="single" w:sz="4" w:space="0" w:color="auto"/>
            </w:tcBorders>
            <w:shd w:val="clear" w:color="auto" w:fill="FFFFFF" w:themeFill="background1"/>
          </w:tcPr>
          <w:p w14:paraId="42893E69" w14:textId="64D805F4"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w:t>
            </w:r>
          </w:p>
        </w:tc>
        <w:tc>
          <w:tcPr>
            <w:tcW w:w="849" w:type="dxa"/>
            <w:tcBorders>
              <w:top w:val="single" w:sz="4" w:space="0" w:color="auto"/>
              <w:bottom w:val="single" w:sz="4" w:space="0" w:color="auto"/>
            </w:tcBorders>
            <w:shd w:val="clear" w:color="auto" w:fill="FFFFFF" w:themeFill="background1"/>
          </w:tcPr>
          <w:p w14:paraId="6B6DFD05" w14:textId="4E695E9F" w:rsidR="002F61DD" w:rsidRPr="003421A1" w:rsidRDefault="002F61DD" w:rsidP="002F61DD">
            <w:pPr>
              <w:autoSpaceDE w:val="0"/>
              <w:autoSpaceDN w:val="0"/>
              <w:adjustRightInd w:val="0"/>
              <w:spacing w:after="0"/>
              <w:jc w:val="center"/>
              <w:rPr>
                <w:rFonts w:ascii="Arial" w:hAnsi="Arial" w:cs="Arial"/>
                <w:b/>
                <w:sz w:val="20"/>
                <w:szCs w:val="20"/>
              </w:rPr>
            </w:pPr>
            <w:r w:rsidRPr="003421A1">
              <w:rPr>
                <w:rFonts w:ascii="Arial" w:hAnsi="Arial" w:cs="Arial"/>
                <w:b/>
                <w:sz w:val="20"/>
                <w:szCs w:val="20"/>
              </w:rPr>
              <w:t>Valor</w:t>
            </w:r>
          </w:p>
        </w:tc>
      </w:tr>
      <w:tr w:rsidR="002F61DD" w14:paraId="41F09993" w14:textId="77777777" w:rsidTr="008C71D1">
        <w:trPr>
          <w:trHeight w:val="503"/>
        </w:trPr>
        <w:tc>
          <w:tcPr>
            <w:tcW w:w="2398" w:type="dxa"/>
            <w:tcBorders>
              <w:top w:val="single" w:sz="4" w:space="0" w:color="auto"/>
            </w:tcBorders>
          </w:tcPr>
          <w:p w14:paraId="1FFF1549" w14:textId="77777777" w:rsidR="002F61DD" w:rsidRPr="003421A1" w:rsidRDefault="002F61DD" w:rsidP="002F61DD">
            <w:pPr>
              <w:autoSpaceDE w:val="0"/>
              <w:autoSpaceDN w:val="0"/>
              <w:adjustRightInd w:val="0"/>
              <w:spacing w:after="0"/>
              <w:jc w:val="both"/>
              <w:rPr>
                <w:rFonts w:ascii="Arial" w:hAnsi="Arial" w:cs="Arial"/>
                <w:b/>
                <w:sz w:val="20"/>
                <w:szCs w:val="20"/>
              </w:rPr>
            </w:pPr>
            <w:r w:rsidRPr="003421A1">
              <w:rPr>
                <w:rFonts w:ascii="Arial" w:hAnsi="Arial" w:cs="Arial"/>
                <w:b/>
                <w:sz w:val="20"/>
                <w:szCs w:val="20"/>
              </w:rPr>
              <w:t>Ativo Financeiro</w:t>
            </w:r>
          </w:p>
          <w:p w14:paraId="42D81CB7" w14:textId="17E04958" w:rsidR="002F61DD" w:rsidRPr="003421A1" w:rsidRDefault="002F61DD" w:rsidP="002F61DD">
            <w:pPr>
              <w:autoSpaceDE w:val="0"/>
              <w:autoSpaceDN w:val="0"/>
              <w:adjustRightInd w:val="0"/>
              <w:spacing w:after="0"/>
              <w:jc w:val="both"/>
              <w:rPr>
                <w:rFonts w:ascii="Arial" w:hAnsi="Arial" w:cs="Arial"/>
                <w:bCs/>
                <w:sz w:val="20"/>
                <w:szCs w:val="20"/>
              </w:rPr>
            </w:pPr>
            <w:r w:rsidRPr="003421A1">
              <w:rPr>
                <w:rFonts w:ascii="Arial" w:hAnsi="Arial" w:cs="Arial"/>
                <w:bCs/>
                <w:sz w:val="20"/>
                <w:szCs w:val="20"/>
              </w:rPr>
              <w:t>Aplicação Financeira (b)</w:t>
            </w:r>
          </w:p>
        </w:tc>
        <w:tc>
          <w:tcPr>
            <w:tcW w:w="825" w:type="dxa"/>
            <w:tcBorders>
              <w:top w:val="single" w:sz="4" w:space="0" w:color="auto"/>
            </w:tcBorders>
          </w:tcPr>
          <w:p w14:paraId="77D26B0C" w14:textId="496702F4" w:rsidR="002F61DD" w:rsidRPr="003421A1" w:rsidRDefault="002F61DD"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7.871</w:t>
            </w:r>
          </w:p>
        </w:tc>
        <w:tc>
          <w:tcPr>
            <w:tcW w:w="847" w:type="dxa"/>
            <w:tcBorders>
              <w:top w:val="single" w:sz="4" w:space="0" w:color="auto"/>
            </w:tcBorders>
          </w:tcPr>
          <w:p w14:paraId="5E61B201" w14:textId="0FE9157F" w:rsidR="002F61DD" w:rsidRPr="003421A1" w:rsidRDefault="002F61DD"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CDI</w:t>
            </w:r>
          </w:p>
        </w:tc>
        <w:tc>
          <w:tcPr>
            <w:tcW w:w="1130" w:type="dxa"/>
            <w:tcBorders>
              <w:top w:val="single" w:sz="4" w:space="0" w:color="auto"/>
            </w:tcBorders>
          </w:tcPr>
          <w:p w14:paraId="64F6B9EF" w14:textId="4DF0BBC7" w:rsidR="002F61DD" w:rsidRPr="003421A1" w:rsidRDefault="003421A1"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4,52</w:t>
            </w:r>
            <w:r w:rsidR="002F61DD" w:rsidRPr="003421A1">
              <w:rPr>
                <w:rFonts w:ascii="Arial" w:hAnsi="Arial" w:cs="Arial"/>
                <w:bCs/>
                <w:sz w:val="20"/>
                <w:szCs w:val="20"/>
              </w:rPr>
              <w:t>%</w:t>
            </w:r>
          </w:p>
        </w:tc>
        <w:tc>
          <w:tcPr>
            <w:tcW w:w="992" w:type="dxa"/>
            <w:tcBorders>
              <w:top w:val="single" w:sz="4" w:space="0" w:color="auto"/>
              <w:left w:val="nil"/>
            </w:tcBorders>
          </w:tcPr>
          <w:p w14:paraId="68480367" w14:textId="383C8611" w:rsidR="002F61DD" w:rsidRPr="003421A1" w:rsidRDefault="003421A1"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3,39</w:t>
            </w:r>
          </w:p>
        </w:tc>
        <w:tc>
          <w:tcPr>
            <w:tcW w:w="995" w:type="dxa"/>
            <w:tcBorders>
              <w:top w:val="single" w:sz="4" w:space="0" w:color="auto"/>
            </w:tcBorders>
          </w:tcPr>
          <w:p w14:paraId="2DB770BE" w14:textId="51147DE2" w:rsidR="002F61DD" w:rsidRPr="003421A1" w:rsidRDefault="002F61DD"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w:t>
            </w:r>
            <w:r w:rsidR="003421A1" w:rsidRPr="003421A1">
              <w:rPr>
                <w:rFonts w:ascii="Arial" w:hAnsi="Arial" w:cs="Arial"/>
                <w:bCs/>
                <w:sz w:val="20"/>
                <w:szCs w:val="20"/>
              </w:rPr>
              <w:t>89</w:t>
            </w:r>
            <w:r w:rsidRPr="003421A1">
              <w:rPr>
                <w:rFonts w:ascii="Arial" w:hAnsi="Arial" w:cs="Arial"/>
                <w:bCs/>
                <w:sz w:val="20"/>
                <w:szCs w:val="20"/>
              </w:rPr>
              <w:t>)</w:t>
            </w:r>
          </w:p>
        </w:tc>
        <w:tc>
          <w:tcPr>
            <w:tcW w:w="986" w:type="dxa"/>
            <w:tcBorders>
              <w:top w:val="single" w:sz="4" w:space="0" w:color="auto"/>
            </w:tcBorders>
          </w:tcPr>
          <w:p w14:paraId="716CF932" w14:textId="5995B4DA" w:rsidR="002F61DD" w:rsidRPr="003421A1" w:rsidRDefault="003421A1"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2,26</w:t>
            </w:r>
          </w:p>
        </w:tc>
        <w:tc>
          <w:tcPr>
            <w:tcW w:w="849" w:type="dxa"/>
            <w:tcBorders>
              <w:top w:val="single" w:sz="4" w:space="0" w:color="auto"/>
            </w:tcBorders>
          </w:tcPr>
          <w:p w14:paraId="7CA0DAA3" w14:textId="3FCA1E78" w:rsidR="002F61DD" w:rsidRPr="003421A1" w:rsidRDefault="002F61DD" w:rsidP="002F61DD">
            <w:pPr>
              <w:autoSpaceDE w:val="0"/>
              <w:autoSpaceDN w:val="0"/>
              <w:adjustRightInd w:val="0"/>
              <w:spacing w:after="0"/>
              <w:jc w:val="center"/>
              <w:rPr>
                <w:rFonts w:ascii="Arial" w:hAnsi="Arial" w:cs="Arial"/>
                <w:bCs/>
                <w:sz w:val="20"/>
                <w:szCs w:val="20"/>
              </w:rPr>
            </w:pPr>
            <w:r w:rsidRPr="003421A1">
              <w:rPr>
                <w:rFonts w:ascii="Arial" w:hAnsi="Arial" w:cs="Arial"/>
                <w:bCs/>
                <w:sz w:val="20"/>
                <w:szCs w:val="20"/>
              </w:rPr>
              <w:t>(</w:t>
            </w:r>
            <w:r w:rsidR="003421A1" w:rsidRPr="003421A1">
              <w:rPr>
                <w:rFonts w:ascii="Arial" w:hAnsi="Arial" w:cs="Arial"/>
                <w:bCs/>
                <w:sz w:val="20"/>
                <w:szCs w:val="20"/>
              </w:rPr>
              <w:t>178</w:t>
            </w:r>
            <w:r w:rsidRPr="003421A1">
              <w:rPr>
                <w:rFonts w:ascii="Arial" w:hAnsi="Arial" w:cs="Arial"/>
                <w:bCs/>
                <w:sz w:val="20"/>
                <w:szCs w:val="20"/>
              </w:rPr>
              <w:t>)</w:t>
            </w:r>
          </w:p>
        </w:tc>
      </w:tr>
    </w:tbl>
    <w:p w14:paraId="2B407099" w14:textId="6D087737" w:rsidR="003D4C83" w:rsidRPr="003234C5" w:rsidRDefault="003D4C83" w:rsidP="007550A5">
      <w:pPr>
        <w:spacing w:after="0"/>
        <w:jc w:val="both"/>
        <w:rPr>
          <w:rFonts w:ascii="Arial" w:hAnsi="Arial" w:cs="Arial"/>
        </w:rPr>
      </w:pPr>
    </w:p>
    <w:p w14:paraId="17C657FB" w14:textId="35BD1073" w:rsidR="00662E91" w:rsidRPr="003234C5" w:rsidRDefault="00883092" w:rsidP="00883092">
      <w:pPr>
        <w:pStyle w:val="PargrafodaLista"/>
        <w:numPr>
          <w:ilvl w:val="0"/>
          <w:numId w:val="37"/>
        </w:numPr>
        <w:spacing w:after="0"/>
        <w:jc w:val="both"/>
        <w:rPr>
          <w:rFonts w:ascii="Arial" w:hAnsi="Arial" w:cs="Arial"/>
          <w:sz w:val="20"/>
          <w:szCs w:val="24"/>
        </w:rPr>
      </w:pPr>
      <w:r w:rsidRPr="003234C5">
        <w:rPr>
          <w:rFonts w:ascii="Arial" w:hAnsi="Arial" w:cs="Arial"/>
          <w:sz w:val="20"/>
          <w:szCs w:val="24"/>
        </w:rPr>
        <w:t>Taxa de juros efetiva.</w:t>
      </w:r>
    </w:p>
    <w:p w14:paraId="55F14B93" w14:textId="26719944" w:rsidR="0040381C" w:rsidRPr="00BF1849" w:rsidRDefault="00883092" w:rsidP="00BF1849">
      <w:pPr>
        <w:pStyle w:val="PargrafodaLista"/>
        <w:numPr>
          <w:ilvl w:val="0"/>
          <w:numId w:val="37"/>
        </w:numPr>
        <w:spacing w:after="0"/>
        <w:jc w:val="both"/>
        <w:rPr>
          <w:rFonts w:ascii="Arial" w:hAnsi="Arial" w:cs="Arial"/>
          <w:sz w:val="20"/>
          <w:szCs w:val="24"/>
        </w:rPr>
      </w:pPr>
      <w:r w:rsidRPr="003234C5">
        <w:rPr>
          <w:rFonts w:ascii="Arial" w:hAnsi="Arial" w:cs="Arial"/>
          <w:sz w:val="20"/>
          <w:szCs w:val="24"/>
        </w:rPr>
        <w:t xml:space="preserve">Representam as aplicações financeiras de curto e longo prazo – Nota explicativa </w:t>
      </w:r>
      <w:r w:rsidR="00672804">
        <w:rPr>
          <w:rFonts w:ascii="Arial" w:hAnsi="Arial" w:cs="Arial"/>
          <w:sz w:val="20"/>
          <w:szCs w:val="24"/>
        </w:rPr>
        <w:t xml:space="preserve">nº </w:t>
      </w:r>
      <w:r w:rsidR="00980E6A">
        <w:rPr>
          <w:rFonts w:ascii="Arial" w:hAnsi="Arial" w:cs="Arial"/>
          <w:sz w:val="20"/>
          <w:szCs w:val="24"/>
        </w:rPr>
        <w:t>8</w:t>
      </w:r>
    </w:p>
    <w:p w14:paraId="5C2095CE" w14:textId="77777777" w:rsidR="00662E91" w:rsidRPr="003234C5" w:rsidRDefault="00662E91" w:rsidP="00C53C10">
      <w:pPr>
        <w:jc w:val="both"/>
        <w:rPr>
          <w:rFonts w:ascii="Arial" w:hAnsi="Arial" w:cs="Arial"/>
          <w:bCs/>
          <w:sz w:val="24"/>
          <w:szCs w:val="24"/>
        </w:rPr>
      </w:pPr>
    </w:p>
    <w:tbl>
      <w:tblPr>
        <w:tblW w:w="8740" w:type="dxa"/>
        <w:tblCellMar>
          <w:left w:w="70" w:type="dxa"/>
          <w:right w:w="70" w:type="dxa"/>
        </w:tblCellMar>
        <w:tblLook w:val="04A0" w:firstRow="1" w:lastRow="0" w:firstColumn="1" w:lastColumn="0" w:noHBand="0" w:noVBand="1"/>
      </w:tblPr>
      <w:tblGrid>
        <w:gridCol w:w="4360"/>
        <w:gridCol w:w="4380"/>
      </w:tblGrid>
      <w:tr w:rsidR="00200682" w:rsidRPr="003234C5" w14:paraId="2DFF1615" w14:textId="77777777" w:rsidTr="00E84342">
        <w:trPr>
          <w:trHeight w:val="300"/>
        </w:trPr>
        <w:tc>
          <w:tcPr>
            <w:tcW w:w="4360" w:type="dxa"/>
            <w:tcBorders>
              <w:top w:val="nil"/>
              <w:left w:val="nil"/>
              <w:bottom w:val="nil"/>
              <w:right w:val="nil"/>
            </w:tcBorders>
            <w:shd w:val="clear" w:color="auto" w:fill="auto"/>
            <w:noWrap/>
            <w:vAlign w:val="bottom"/>
            <w:hideMark/>
          </w:tcPr>
          <w:p w14:paraId="68CD25E1" w14:textId="77777777" w:rsidR="003751B0" w:rsidRPr="003234C5" w:rsidRDefault="003751B0" w:rsidP="00E84342">
            <w:pPr>
              <w:suppressAutoHyphens w:val="0"/>
              <w:spacing w:after="0" w:line="240" w:lineRule="auto"/>
              <w:jc w:val="center"/>
              <w:rPr>
                <w:rFonts w:ascii="Arial" w:eastAsia="Times New Roman" w:hAnsi="Arial" w:cs="Arial"/>
                <w:kern w:val="0"/>
                <w:sz w:val="24"/>
                <w:szCs w:val="24"/>
                <w:lang w:eastAsia="pt-BR"/>
              </w:rPr>
            </w:pPr>
            <w:bookmarkStart w:id="48" w:name="_Hlk1377734"/>
          </w:p>
          <w:p w14:paraId="38931455" w14:textId="36976367" w:rsidR="00200682" w:rsidRPr="003234C5" w:rsidRDefault="00200682" w:rsidP="00E84342">
            <w:pPr>
              <w:suppressAutoHyphens w:val="0"/>
              <w:spacing w:after="0" w:line="240" w:lineRule="auto"/>
              <w:jc w:val="center"/>
              <w:rPr>
                <w:rFonts w:ascii="Arial" w:eastAsia="Times New Roman" w:hAnsi="Arial" w:cs="Arial"/>
                <w:kern w:val="0"/>
                <w:sz w:val="24"/>
                <w:szCs w:val="24"/>
                <w:lang w:eastAsia="pt-BR"/>
              </w:rPr>
            </w:pPr>
            <w:r w:rsidRPr="003234C5">
              <w:rPr>
                <w:rFonts w:ascii="Arial" w:eastAsia="Times New Roman" w:hAnsi="Arial" w:cs="Arial"/>
                <w:kern w:val="0"/>
                <w:sz w:val="24"/>
                <w:szCs w:val="24"/>
                <w:lang w:eastAsia="pt-BR"/>
              </w:rPr>
              <w:t xml:space="preserve">  Hugo Santana de Figueirêdo Junior</w:t>
            </w:r>
          </w:p>
        </w:tc>
        <w:tc>
          <w:tcPr>
            <w:tcW w:w="4380" w:type="dxa"/>
            <w:tcBorders>
              <w:top w:val="nil"/>
              <w:left w:val="nil"/>
              <w:bottom w:val="nil"/>
              <w:right w:val="nil"/>
            </w:tcBorders>
            <w:shd w:val="clear" w:color="auto" w:fill="auto"/>
            <w:noWrap/>
            <w:vAlign w:val="bottom"/>
            <w:hideMark/>
          </w:tcPr>
          <w:p w14:paraId="7D7FE19C" w14:textId="4FA1A992" w:rsidR="00200682" w:rsidRPr="003234C5" w:rsidRDefault="00200682" w:rsidP="00E84342">
            <w:pPr>
              <w:suppressAutoHyphens w:val="0"/>
              <w:spacing w:after="0" w:line="240" w:lineRule="auto"/>
              <w:jc w:val="center"/>
              <w:rPr>
                <w:rFonts w:ascii="Arial" w:eastAsia="Times New Roman" w:hAnsi="Arial" w:cs="Arial"/>
                <w:kern w:val="0"/>
                <w:sz w:val="24"/>
                <w:szCs w:val="24"/>
                <w:lang w:eastAsia="pt-BR"/>
              </w:rPr>
            </w:pPr>
            <w:r w:rsidRPr="003234C5">
              <w:rPr>
                <w:rFonts w:ascii="Arial" w:eastAsia="Times New Roman" w:hAnsi="Arial" w:cs="Arial"/>
                <w:kern w:val="0"/>
                <w:sz w:val="24"/>
                <w:szCs w:val="24"/>
                <w:lang w:eastAsia="pt-BR"/>
              </w:rPr>
              <w:t xml:space="preserve">      </w:t>
            </w:r>
            <w:r w:rsidR="00CF6357" w:rsidRPr="003234C5">
              <w:rPr>
                <w:rFonts w:ascii="Arial" w:eastAsia="Times New Roman" w:hAnsi="Arial" w:cs="Arial"/>
                <w:kern w:val="0"/>
                <w:sz w:val="24"/>
                <w:szCs w:val="24"/>
                <w:lang w:eastAsia="pt-BR"/>
              </w:rPr>
              <w:t xml:space="preserve"> </w:t>
            </w:r>
            <w:r w:rsidRPr="003234C5">
              <w:rPr>
                <w:rFonts w:ascii="Arial" w:eastAsia="Times New Roman" w:hAnsi="Arial" w:cs="Arial"/>
                <w:kern w:val="0"/>
                <w:sz w:val="24"/>
                <w:szCs w:val="24"/>
                <w:lang w:eastAsia="pt-BR"/>
              </w:rPr>
              <w:t>Fábio Augusto Norcio</w:t>
            </w:r>
          </w:p>
        </w:tc>
      </w:tr>
      <w:tr w:rsidR="00200682" w:rsidRPr="003234C5" w14:paraId="4265A5C7" w14:textId="77777777" w:rsidTr="00E84342">
        <w:trPr>
          <w:trHeight w:val="300"/>
        </w:trPr>
        <w:tc>
          <w:tcPr>
            <w:tcW w:w="4360" w:type="dxa"/>
            <w:tcBorders>
              <w:top w:val="nil"/>
              <w:left w:val="nil"/>
              <w:bottom w:val="nil"/>
              <w:right w:val="nil"/>
            </w:tcBorders>
            <w:shd w:val="clear" w:color="auto" w:fill="auto"/>
            <w:noWrap/>
            <w:vAlign w:val="bottom"/>
            <w:hideMark/>
          </w:tcPr>
          <w:p w14:paraId="2DFEF993" w14:textId="77777777" w:rsidR="00200682" w:rsidRPr="003234C5" w:rsidRDefault="00200682" w:rsidP="00E84342">
            <w:pPr>
              <w:suppressAutoHyphens w:val="0"/>
              <w:spacing w:after="0" w:line="240" w:lineRule="auto"/>
              <w:rPr>
                <w:rFonts w:ascii="Arial" w:eastAsia="Times New Roman" w:hAnsi="Arial" w:cs="Arial"/>
                <w:kern w:val="0"/>
                <w:sz w:val="24"/>
                <w:szCs w:val="24"/>
                <w:lang w:eastAsia="pt-BR"/>
              </w:rPr>
            </w:pPr>
            <w:r w:rsidRPr="003234C5">
              <w:rPr>
                <w:rFonts w:ascii="Arial" w:eastAsia="Times New Roman" w:hAnsi="Arial" w:cs="Arial"/>
                <w:kern w:val="0"/>
                <w:sz w:val="24"/>
                <w:szCs w:val="24"/>
                <w:lang w:eastAsia="pt-BR"/>
              </w:rPr>
              <w:t xml:space="preserve">                 Diretor Presidente                 </w:t>
            </w:r>
          </w:p>
        </w:tc>
        <w:tc>
          <w:tcPr>
            <w:tcW w:w="4380" w:type="dxa"/>
            <w:tcBorders>
              <w:top w:val="nil"/>
              <w:left w:val="nil"/>
              <w:bottom w:val="nil"/>
              <w:right w:val="nil"/>
            </w:tcBorders>
            <w:shd w:val="clear" w:color="auto" w:fill="auto"/>
            <w:noWrap/>
            <w:vAlign w:val="bottom"/>
            <w:hideMark/>
          </w:tcPr>
          <w:p w14:paraId="29B93CFE" w14:textId="77777777" w:rsidR="00200682" w:rsidRPr="003234C5" w:rsidRDefault="00200682" w:rsidP="00E84342">
            <w:pPr>
              <w:suppressAutoHyphens w:val="0"/>
              <w:spacing w:after="0" w:line="240" w:lineRule="auto"/>
              <w:jc w:val="center"/>
              <w:rPr>
                <w:rFonts w:ascii="Arial" w:eastAsia="Times New Roman" w:hAnsi="Arial" w:cs="Arial"/>
                <w:kern w:val="0"/>
                <w:sz w:val="24"/>
                <w:szCs w:val="24"/>
                <w:lang w:eastAsia="pt-BR"/>
              </w:rPr>
            </w:pPr>
            <w:r w:rsidRPr="003234C5">
              <w:rPr>
                <w:rFonts w:ascii="Arial" w:eastAsia="Times New Roman" w:hAnsi="Arial" w:cs="Arial"/>
                <w:kern w:val="0"/>
                <w:sz w:val="24"/>
                <w:szCs w:val="24"/>
                <w:lang w:eastAsia="pt-BR"/>
              </w:rPr>
              <w:t xml:space="preserve">        Diretor Adm. e Financeiro</w:t>
            </w:r>
          </w:p>
        </w:tc>
      </w:tr>
      <w:tr w:rsidR="00200682" w:rsidRPr="003234C5" w14:paraId="3F5B25F7" w14:textId="77777777" w:rsidTr="00E84342">
        <w:trPr>
          <w:trHeight w:val="300"/>
        </w:trPr>
        <w:tc>
          <w:tcPr>
            <w:tcW w:w="4360" w:type="dxa"/>
            <w:tcBorders>
              <w:top w:val="nil"/>
              <w:left w:val="nil"/>
              <w:bottom w:val="nil"/>
              <w:right w:val="nil"/>
            </w:tcBorders>
            <w:shd w:val="clear" w:color="auto" w:fill="auto"/>
            <w:noWrap/>
            <w:vAlign w:val="bottom"/>
            <w:hideMark/>
          </w:tcPr>
          <w:p w14:paraId="5095A466" w14:textId="77777777" w:rsidR="00200682" w:rsidRPr="003234C5" w:rsidRDefault="00200682" w:rsidP="00E84342">
            <w:pPr>
              <w:suppressAutoHyphens w:val="0"/>
              <w:spacing w:after="0" w:line="240" w:lineRule="auto"/>
              <w:jc w:val="center"/>
              <w:rPr>
                <w:rFonts w:ascii="Arial" w:eastAsia="Times New Roman" w:hAnsi="Arial" w:cs="Arial"/>
                <w:kern w:val="0"/>
                <w:sz w:val="24"/>
                <w:szCs w:val="24"/>
                <w:lang w:eastAsia="pt-BR"/>
              </w:rPr>
            </w:pPr>
          </w:p>
        </w:tc>
        <w:tc>
          <w:tcPr>
            <w:tcW w:w="4380" w:type="dxa"/>
            <w:tcBorders>
              <w:top w:val="nil"/>
              <w:left w:val="nil"/>
              <w:bottom w:val="nil"/>
              <w:right w:val="nil"/>
            </w:tcBorders>
            <w:shd w:val="clear" w:color="auto" w:fill="auto"/>
            <w:noWrap/>
            <w:vAlign w:val="bottom"/>
            <w:hideMark/>
          </w:tcPr>
          <w:p w14:paraId="17D0C67B" w14:textId="77777777" w:rsidR="00200682" w:rsidRPr="003234C5" w:rsidRDefault="00200682" w:rsidP="00E84342">
            <w:pPr>
              <w:suppressAutoHyphens w:val="0"/>
              <w:spacing w:after="0" w:line="240" w:lineRule="auto"/>
              <w:jc w:val="center"/>
              <w:rPr>
                <w:rFonts w:ascii="Arial" w:eastAsia="Times New Roman" w:hAnsi="Arial" w:cs="Arial"/>
                <w:kern w:val="0"/>
                <w:sz w:val="20"/>
                <w:szCs w:val="20"/>
                <w:lang w:eastAsia="pt-BR"/>
              </w:rPr>
            </w:pPr>
          </w:p>
        </w:tc>
      </w:tr>
      <w:tr w:rsidR="00200682" w:rsidRPr="003234C5" w14:paraId="66D64F3E" w14:textId="77777777" w:rsidTr="00E84342">
        <w:trPr>
          <w:trHeight w:val="300"/>
        </w:trPr>
        <w:tc>
          <w:tcPr>
            <w:tcW w:w="4360" w:type="dxa"/>
            <w:tcBorders>
              <w:top w:val="nil"/>
              <w:left w:val="nil"/>
              <w:bottom w:val="nil"/>
              <w:right w:val="nil"/>
            </w:tcBorders>
            <w:shd w:val="clear" w:color="auto" w:fill="auto"/>
            <w:noWrap/>
            <w:vAlign w:val="bottom"/>
            <w:hideMark/>
          </w:tcPr>
          <w:p w14:paraId="1EB99844" w14:textId="77777777" w:rsidR="00200682" w:rsidRPr="003234C5" w:rsidRDefault="00200682" w:rsidP="00E84342">
            <w:pPr>
              <w:suppressAutoHyphens w:val="0"/>
              <w:spacing w:after="0" w:line="240" w:lineRule="auto"/>
              <w:jc w:val="center"/>
              <w:rPr>
                <w:rFonts w:ascii="Arial" w:eastAsia="Times New Roman" w:hAnsi="Arial" w:cs="Arial"/>
                <w:kern w:val="0"/>
                <w:sz w:val="20"/>
                <w:szCs w:val="20"/>
                <w:lang w:eastAsia="pt-BR"/>
              </w:rPr>
            </w:pPr>
          </w:p>
        </w:tc>
        <w:tc>
          <w:tcPr>
            <w:tcW w:w="4380" w:type="dxa"/>
            <w:tcBorders>
              <w:top w:val="nil"/>
              <w:left w:val="nil"/>
              <w:bottom w:val="nil"/>
              <w:right w:val="nil"/>
            </w:tcBorders>
            <w:shd w:val="clear" w:color="auto" w:fill="auto"/>
            <w:noWrap/>
            <w:vAlign w:val="bottom"/>
            <w:hideMark/>
          </w:tcPr>
          <w:p w14:paraId="51132744" w14:textId="77777777" w:rsidR="00200682" w:rsidRPr="003234C5" w:rsidRDefault="00200682" w:rsidP="00E84342">
            <w:pPr>
              <w:suppressAutoHyphens w:val="0"/>
              <w:spacing w:after="0" w:line="240" w:lineRule="auto"/>
              <w:jc w:val="center"/>
              <w:rPr>
                <w:rFonts w:ascii="Arial" w:eastAsia="Times New Roman" w:hAnsi="Arial" w:cs="Arial"/>
                <w:kern w:val="0"/>
                <w:sz w:val="20"/>
                <w:szCs w:val="20"/>
                <w:lang w:eastAsia="pt-BR"/>
              </w:rPr>
            </w:pPr>
          </w:p>
        </w:tc>
      </w:tr>
      <w:tr w:rsidR="00200682" w:rsidRPr="003234C5" w14:paraId="430154DD" w14:textId="77777777" w:rsidTr="00E84342">
        <w:trPr>
          <w:trHeight w:val="300"/>
        </w:trPr>
        <w:tc>
          <w:tcPr>
            <w:tcW w:w="4360" w:type="dxa"/>
            <w:tcBorders>
              <w:top w:val="nil"/>
              <w:left w:val="nil"/>
              <w:bottom w:val="nil"/>
              <w:right w:val="nil"/>
            </w:tcBorders>
            <w:shd w:val="clear" w:color="auto" w:fill="auto"/>
            <w:noWrap/>
            <w:vAlign w:val="bottom"/>
            <w:hideMark/>
          </w:tcPr>
          <w:p w14:paraId="46AADACF" w14:textId="345EF42C" w:rsidR="00200682" w:rsidRPr="003234C5" w:rsidRDefault="00374A93" w:rsidP="00E84342">
            <w:pPr>
              <w:suppressAutoHyphens w:val="0"/>
              <w:spacing w:after="0" w:line="240" w:lineRule="auto"/>
              <w:jc w:val="center"/>
              <w:rPr>
                <w:rFonts w:ascii="Arial" w:eastAsia="Times New Roman" w:hAnsi="Arial" w:cs="Arial"/>
                <w:kern w:val="0"/>
                <w:sz w:val="24"/>
                <w:szCs w:val="24"/>
                <w:lang w:eastAsia="pt-BR"/>
              </w:rPr>
            </w:pPr>
            <w:r w:rsidRPr="003234C5">
              <w:rPr>
                <w:rFonts w:ascii="Arial" w:eastAsia="Times New Roman" w:hAnsi="Arial" w:cs="Arial"/>
                <w:kern w:val="0"/>
                <w:sz w:val="24"/>
                <w:szCs w:val="24"/>
                <w:lang w:eastAsia="pt-BR"/>
              </w:rPr>
              <w:t>Flávio Borges Barros</w:t>
            </w:r>
          </w:p>
        </w:tc>
        <w:tc>
          <w:tcPr>
            <w:tcW w:w="4380" w:type="dxa"/>
            <w:tcBorders>
              <w:top w:val="nil"/>
              <w:left w:val="nil"/>
              <w:bottom w:val="nil"/>
              <w:right w:val="nil"/>
            </w:tcBorders>
            <w:shd w:val="clear" w:color="auto" w:fill="auto"/>
            <w:noWrap/>
            <w:vAlign w:val="bottom"/>
            <w:hideMark/>
          </w:tcPr>
          <w:p w14:paraId="23991683" w14:textId="5473604C" w:rsidR="00200682" w:rsidRPr="003234C5" w:rsidRDefault="00200682" w:rsidP="00E84342">
            <w:pPr>
              <w:suppressAutoHyphens w:val="0"/>
              <w:spacing w:after="0" w:line="240" w:lineRule="auto"/>
              <w:jc w:val="center"/>
              <w:rPr>
                <w:rFonts w:ascii="Arial" w:eastAsia="Times New Roman" w:hAnsi="Arial" w:cs="Arial"/>
                <w:kern w:val="0"/>
                <w:sz w:val="24"/>
                <w:szCs w:val="24"/>
                <w:lang w:eastAsia="pt-BR"/>
              </w:rPr>
            </w:pPr>
            <w:r w:rsidRPr="003234C5">
              <w:rPr>
                <w:rFonts w:ascii="Arial" w:eastAsia="Times New Roman" w:hAnsi="Arial" w:cs="Arial"/>
                <w:kern w:val="0"/>
                <w:sz w:val="24"/>
                <w:szCs w:val="24"/>
                <w:lang w:eastAsia="pt-BR"/>
              </w:rPr>
              <w:t xml:space="preserve">    </w:t>
            </w:r>
            <w:r w:rsidR="008C5091" w:rsidRPr="003234C5">
              <w:rPr>
                <w:rFonts w:ascii="Arial" w:eastAsia="Times New Roman" w:hAnsi="Arial" w:cs="Arial"/>
                <w:kern w:val="0"/>
                <w:sz w:val="24"/>
                <w:szCs w:val="24"/>
                <w:lang w:eastAsia="pt-BR"/>
              </w:rPr>
              <w:t>Mardônio Barbosa da Silva</w:t>
            </w:r>
          </w:p>
        </w:tc>
      </w:tr>
      <w:tr w:rsidR="00200682" w:rsidRPr="00A228B6" w14:paraId="4043A7CD" w14:textId="77777777" w:rsidTr="00E84342">
        <w:trPr>
          <w:trHeight w:val="300"/>
        </w:trPr>
        <w:tc>
          <w:tcPr>
            <w:tcW w:w="4360" w:type="dxa"/>
            <w:tcBorders>
              <w:top w:val="nil"/>
              <w:left w:val="nil"/>
              <w:bottom w:val="nil"/>
              <w:right w:val="nil"/>
            </w:tcBorders>
            <w:shd w:val="clear" w:color="auto" w:fill="auto"/>
            <w:noWrap/>
            <w:vAlign w:val="bottom"/>
            <w:hideMark/>
          </w:tcPr>
          <w:p w14:paraId="252181BF" w14:textId="77777777" w:rsidR="00200682" w:rsidRPr="003234C5" w:rsidRDefault="00200682" w:rsidP="00E84342">
            <w:pPr>
              <w:suppressAutoHyphens w:val="0"/>
              <w:spacing w:after="0" w:line="240" w:lineRule="auto"/>
              <w:rPr>
                <w:rFonts w:ascii="Arial" w:eastAsia="Times New Roman" w:hAnsi="Arial" w:cs="Arial"/>
                <w:kern w:val="0"/>
                <w:sz w:val="24"/>
                <w:szCs w:val="24"/>
                <w:lang w:eastAsia="pt-BR"/>
              </w:rPr>
            </w:pPr>
            <w:r w:rsidRPr="003234C5">
              <w:rPr>
                <w:rFonts w:ascii="Arial" w:eastAsia="Times New Roman" w:hAnsi="Arial" w:cs="Arial"/>
                <w:kern w:val="0"/>
                <w:sz w:val="24"/>
                <w:szCs w:val="24"/>
                <w:lang w:eastAsia="pt-BR"/>
              </w:rPr>
              <w:t xml:space="preserve">        Diretor Técnico e Comercial                 </w:t>
            </w:r>
          </w:p>
        </w:tc>
        <w:tc>
          <w:tcPr>
            <w:tcW w:w="4380" w:type="dxa"/>
            <w:tcBorders>
              <w:top w:val="nil"/>
              <w:left w:val="nil"/>
              <w:bottom w:val="nil"/>
              <w:right w:val="nil"/>
            </w:tcBorders>
            <w:shd w:val="clear" w:color="auto" w:fill="auto"/>
            <w:noWrap/>
            <w:vAlign w:val="bottom"/>
            <w:hideMark/>
          </w:tcPr>
          <w:p w14:paraId="117B3F9A" w14:textId="2C735F7C" w:rsidR="00200682" w:rsidRPr="00A228B6" w:rsidRDefault="00200682" w:rsidP="00E84342">
            <w:pPr>
              <w:suppressAutoHyphens w:val="0"/>
              <w:spacing w:after="0" w:line="240" w:lineRule="auto"/>
              <w:jc w:val="center"/>
              <w:rPr>
                <w:rFonts w:ascii="Arial" w:eastAsia="Times New Roman" w:hAnsi="Arial" w:cs="Arial"/>
                <w:kern w:val="0"/>
                <w:sz w:val="24"/>
                <w:szCs w:val="24"/>
                <w:lang w:eastAsia="pt-BR"/>
              </w:rPr>
            </w:pPr>
            <w:r w:rsidRPr="003234C5">
              <w:rPr>
                <w:rFonts w:ascii="Arial" w:eastAsia="Times New Roman" w:hAnsi="Arial" w:cs="Arial"/>
                <w:kern w:val="0"/>
                <w:sz w:val="24"/>
                <w:szCs w:val="24"/>
                <w:lang w:eastAsia="pt-BR"/>
              </w:rPr>
              <w:t xml:space="preserve">     Contador CRC-CE </w:t>
            </w:r>
            <w:r w:rsidR="008C5091" w:rsidRPr="003234C5">
              <w:rPr>
                <w:rFonts w:ascii="Arial" w:eastAsia="Times New Roman" w:hAnsi="Arial" w:cs="Arial"/>
                <w:kern w:val="0"/>
                <w:sz w:val="24"/>
                <w:szCs w:val="24"/>
                <w:lang w:eastAsia="pt-BR"/>
              </w:rPr>
              <w:t>019178</w:t>
            </w:r>
            <w:r w:rsidR="007743E8" w:rsidRPr="003234C5">
              <w:rPr>
                <w:rFonts w:ascii="Arial" w:eastAsia="Times New Roman" w:hAnsi="Arial" w:cs="Arial"/>
                <w:kern w:val="0"/>
                <w:sz w:val="24"/>
                <w:szCs w:val="24"/>
                <w:lang w:eastAsia="pt-BR"/>
              </w:rPr>
              <w:t>/O-</w:t>
            </w:r>
            <w:r w:rsidR="008C5091" w:rsidRPr="003234C5">
              <w:rPr>
                <w:rFonts w:ascii="Arial" w:eastAsia="Times New Roman" w:hAnsi="Arial" w:cs="Arial"/>
                <w:kern w:val="0"/>
                <w:sz w:val="24"/>
                <w:szCs w:val="24"/>
                <w:lang w:eastAsia="pt-BR"/>
              </w:rPr>
              <w:t>8</w:t>
            </w:r>
          </w:p>
        </w:tc>
      </w:tr>
      <w:bookmarkEnd w:id="48"/>
    </w:tbl>
    <w:p w14:paraId="0838F8C4" w14:textId="2133232C" w:rsidR="00E84342" w:rsidRPr="00A228B6" w:rsidRDefault="00E84342" w:rsidP="00753856">
      <w:pPr>
        <w:rPr>
          <w:rFonts w:ascii="Arial" w:hAnsi="Arial" w:cs="Arial"/>
          <w:sz w:val="24"/>
          <w:szCs w:val="24"/>
        </w:rPr>
      </w:pPr>
    </w:p>
    <w:sectPr w:rsidR="00E84342" w:rsidRPr="00A228B6" w:rsidSect="00DD5C13">
      <w:headerReference w:type="default" r:id="rId9"/>
      <w:footerReference w:type="default" r:id="rId10"/>
      <w:pgSz w:w="11906" w:h="16838"/>
      <w:pgMar w:top="1701" w:right="1134" w:bottom="851" w:left="1701"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67EFF" w14:textId="77777777" w:rsidR="008C71D1" w:rsidRDefault="008C71D1" w:rsidP="003C6253">
      <w:pPr>
        <w:spacing w:after="0" w:line="240" w:lineRule="auto"/>
      </w:pPr>
      <w:r>
        <w:separator/>
      </w:r>
    </w:p>
  </w:endnote>
  <w:endnote w:type="continuationSeparator" w:id="0">
    <w:p w14:paraId="29D2CB78" w14:textId="77777777" w:rsidR="008C71D1" w:rsidRDefault="008C71D1" w:rsidP="003C6253">
      <w:pPr>
        <w:spacing w:after="0" w:line="240" w:lineRule="auto"/>
      </w:pPr>
      <w:r>
        <w:continuationSeparator/>
      </w:r>
    </w:p>
  </w:endnote>
  <w:endnote w:type="continuationNotice" w:id="1">
    <w:p w14:paraId="70868394" w14:textId="77777777" w:rsidR="008C71D1" w:rsidRDefault="008C71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icrosoft JhengHe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sig w:usb0="E0000AFF" w:usb1="500078FF" w:usb2="00000021" w:usb3="00000000" w:csb0="000001BF" w:csb1="00000000"/>
  </w:font>
  <w:font w:name="ArialMT">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9835379"/>
      <w:docPartObj>
        <w:docPartGallery w:val="Page Numbers (Bottom of Page)"/>
        <w:docPartUnique/>
      </w:docPartObj>
    </w:sdtPr>
    <w:sdtEndPr/>
    <w:sdtContent>
      <w:p w14:paraId="16946BBE" w14:textId="39D8EB84" w:rsidR="008C71D1" w:rsidRDefault="008C71D1">
        <w:pPr>
          <w:pStyle w:val="Rodap"/>
          <w:jc w:val="right"/>
        </w:pPr>
        <w:r>
          <w:fldChar w:fldCharType="begin"/>
        </w:r>
        <w:r>
          <w:instrText>PAGE   \* MERGEFORMAT</w:instrText>
        </w:r>
        <w:r>
          <w:fldChar w:fldCharType="separate"/>
        </w:r>
        <w:r>
          <w:t>2</w:t>
        </w:r>
        <w:r>
          <w:fldChar w:fldCharType="end"/>
        </w:r>
      </w:p>
    </w:sdtContent>
  </w:sdt>
  <w:p w14:paraId="2B605D2D" w14:textId="689AD2C3" w:rsidR="008C71D1" w:rsidRPr="003C6253" w:rsidRDefault="008C71D1" w:rsidP="006235C4">
    <w:pPr>
      <w:tabs>
        <w:tab w:val="left" w:pos="2201"/>
      </w:tabs>
      <w:spacing w:after="0" w:line="240" w:lineRule="auto"/>
      <w:rPr>
        <w:rFonts w:ascii="Arial" w:hAnsi="Arial" w:cs="Arial"/>
        <w:color w:val="0D0D0D" w:themeColor="text1" w:themeTint="F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24D3C" w14:textId="77777777" w:rsidR="008C71D1" w:rsidRDefault="008C71D1" w:rsidP="003C6253">
      <w:pPr>
        <w:spacing w:after="0" w:line="240" w:lineRule="auto"/>
      </w:pPr>
      <w:r>
        <w:separator/>
      </w:r>
    </w:p>
  </w:footnote>
  <w:footnote w:type="continuationSeparator" w:id="0">
    <w:p w14:paraId="507B6945" w14:textId="77777777" w:rsidR="008C71D1" w:rsidRDefault="008C71D1" w:rsidP="003C6253">
      <w:pPr>
        <w:spacing w:after="0" w:line="240" w:lineRule="auto"/>
      </w:pPr>
      <w:r>
        <w:continuationSeparator/>
      </w:r>
    </w:p>
  </w:footnote>
  <w:footnote w:type="continuationNotice" w:id="1">
    <w:p w14:paraId="0796BD6C" w14:textId="77777777" w:rsidR="008C71D1" w:rsidRDefault="008C71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A785E" w14:textId="77777777" w:rsidR="008C71D1" w:rsidRDefault="008C71D1">
    <w:pPr>
      <w:pStyle w:val="Cabealho"/>
    </w:pPr>
    <w:r w:rsidRPr="003C6253">
      <w:rPr>
        <w:noProof/>
      </w:rPr>
      <w:drawing>
        <wp:anchor distT="0" distB="0" distL="114300" distR="114300" simplePos="0" relativeHeight="251658240" behindDoc="1" locked="0" layoutInCell="1" allowOverlap="1" wp14:anchorId="26F6AB06" wp14:editId="600BDD85">
          <wp:simplePos x="0" y="0"/>
          <wp:positionH relativeFrom="column">
            <wp:posOffset>4282440</wp:posOffset>
          </wp:positionH>
          <wp:positionV relativeFrom="paragraph">
            <wp:posOffset>-2540</wp:posOffset>
          </wp:positionV>
          <wp:extent cx="1447800" cy="403837"/>
          <wp:effectExtent l="0" t="0" r="0" b="0"/>
          <wp:wrapNone/>
          <wp:docPr id="2" name="Imagem 2" descr="C:\Users\larissa.rates\Desktop\gráfico\ELEMENTOS\Objeto Inteligente de Ve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rissa.rates\Desktop\gráfico\ELEMENTOS\Objeto Inteligente de Vet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0383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E0A56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9E18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6EA1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C4E58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B48F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5668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A23F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947A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68E5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5AC7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0000003"/>
    <w:multiLevelType w:val="multilevel"/>
    <w:tmpl w:val="00000003"/>
    <w:lvl w:ilvl="0">
      <w:start w:val="1"/>
      <w:numFmt w:val="bullet"/>
      <w:suff w:val="nothing"/>
      <w:lvlText w:val=""/>
      <w:lvlJc w:val="left"/>
      <w:pPr>
        <w:tabs>
          <w:tab w:val="num" w:pos="284"/>
        </w:tabs>
        <w:ind w:left="284" w:firstLine="0"/>
      </w:pPr>
      <w:rPr>
        <w:rFonts w:ascii="Symbol" w:hAnsi="Symbol" w:cs="OpenSymbol"/>
      </w:rPr>
    </w:lvl>
    <w:lvl w:ilvl="1">
      <w:start w:val="1"/>
      <w:numFmt w:val="bullet"/>
      <w:suff w:val="nothing"/>
      <w:lvlText w:val="◦"/>
      <w:lvlJc w:val="left"/>
      <w:pPr>
        <w:tabs>
          <w:tab w:val="num" w:pos="284"/>
        </w:tabs>
        <w:ind w:left="284" w:firstLine="0"/>
      </w:pPr>
      <w:rPr>
        <w:rFonts w:ascii="OpenSymbol" w:hAnsi="OpenSymbol" w:cs="OpenSymbol"/>
      </w:rPr>
    </w:lvl>
    <w:lvl w:ilvl="2">
      <w:start w:val="1"/>
      <w:numFmt w:val="bullet"/>
      <w:suff w:val="nothing"/>
      <w:lvlText w:val="▪"/>
      <w:lvlJc w:val="left"/>
      <w:pPr>
        <w:tabs>
          <w:tab w:val="num" w:pos="284"/>
        </w:tabs>
        <w:ind w:left="284" w:firstLine="0"/>
      </w:pPr>
      <w:rPr>
        <w:rFonts w:ascii="OpenSymbol" w:hAnsi="OpenSymbol" w:cs="OpenSymbol"/>
      </w:rPr>
    </w:lvl>
    <w:lvl w:ilvl="3">
      <w:start w:val="1"/>
      <w:numFmt w:val="bullet"/>
      <w:suff w:val="nothing"/>
      <w:lvlText w:val=""/>
      <w:lvlJc w:val="left"/>
      <w:pPr>
        <w:tabs>
          <w:tab w:val="num" w:pos="284"/>
        </w:tabs>
        <w:ind w:left="284" w:firstLine="0"/>
      </w:pPr>
      <w:rPr>
        <w:rFonts w:ascii="Symbol" w:hAnsi="Symbol" w:cs="OpenSymbol"/>
      </w:rPr>
    </w:lvl>
    <w:lvl w:ilvl="4">
      <w:start w:val="1"/>
      <w:numFmt w:val="bullet"/>
      <w:suff w:val="nothing"/>
      <w:lvlText w:val="◦"/>
      <w:lvlJc w:val="left"/>
      <w:pPr>
        <w:tabs>
          <w:tab w:val="num" w:pos="284"/>
        </w:tabs>
        <w:ind w:left="284" w:firstLine="0"/>
      </w:pPr>
      <w:rPr>
        <w:rFonts w:ascii="OpenSymbol" w:hAnsi="OpenSymbol" w:cs="OpenSymbol"/>
      </w:rPr>
    </w:lvl>
    <w:lvl w:ilvl="5">
      <w:start w:val="1"/>
      <w:numFmt w:val="bullet"/>
      <w:suff w:val="nothing"/>
      <w:lvlText w:val="▪"/>
      <w:lvlJc w:val="left"/>
      <w:pPr>
        <w:tabs>
          <w:tab w:val="num" w:pos="284"/>
        </w:tabs>
        <w:ind w:left="284" w:firstLine="0"/>
      </w:pPr>
      <w:rPr>
        <w:rFonts w:ascii="OpenSymbol" w:hAnsi="OpenSymbol" w:cs="OpenSymbol"/>
      </w:rPr>
    </w:lvl>
    <w:lvl w:ilvl="6">
      <w:start w:val="1"/>
      <w:numFmt w:val="bullet"/>
      <w:suff w:val="nothing"/>
      <w:lvlText w:val=""/>
      <w:lvlJc w:val="left"/>
      <w:pPr>
        <w:tabs>
          <w:tab w:val="num" w:pos="284"/>
        </w:tabs>
        <w:ind w:left="284" w:firstLine="0"/>
      </w:pPr>
      <w:rPr>
        <w:rFonts w:ascii="Symbol" w:hAnsi="Symbol" w:cs="OpenSymbol"/>
      </w:rPr>
    </w:lvl>
    <w:lvl w:ilvl="7">
      <w:start w:val="1"/>
      <w:numFmt w:val="bullet"/>
      <w:suff w:val="nothing"/>
      <w:lvlText w:val="◦"/>
      <w:lvlJc w:val="left"/>
      <w:pPr>
        <w:tabs>
          <w:tab w:val="num" w:pos="284"/>
        </w:tabs>
        <w:ind w:left="284" w:firstLine="0"/>
      </w:pPr>
      <w:rPr>
        <w:rFonts w:ascii="OpenSymbol" w:hAnsi="OpenSymbol" w:cs="OpenSymbol"/>
      </w:rPr>
    </w:lvl>
    <w:lvl w:ilvl="8">
      <w:start w:val="1"/>
      <w:numFmt w:val="bullet"/>
      <w:suff w:val="nothing"/>
      <w:lvlText w:val="▪"/>
      <w:lvlJc w:val="left"/>
      <w:pPr>
        <w:tabs>
          <w:tab w:val="num" w:pos="284"/>
        </w:tabs>
        <w:ind w:left="284" w:firstLine="0"/>
      </w:pPr>
      <w:rPr>
        <w:rFonts w:ascii="OpenSymbol" w:hAnsi="OpenSymbol" w:cs="OpenSymbol"/>
      </w:rPr>
    </w:lvl>
  </w:abstractNum>
  <w:abstractNum w:abstractNumId="13" w15:restartNumberingAfterBreak="0">
    <w:nsid w:val="01677790"/>
    <w:multiLevelType w:val="hybridMultilevel"/>
    <w:tmpl w:val="84066EF0"/>
    <w:lvl w:ilvl="0" w:tplc="AACE0FA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2A62A9E"/>
    <w:multiLevelType w:val="singleLevel"/>
    <w:tmpl w:val="AA343162"/>
    <w:lvl w:ilvl="0">
      <w:start w:val="3"/>
      <w:numFmt w:val="decimal"/>
      <w:lvlText w:val="NOTA %1."/>
      <w:legacy w:legacy="1" w:legacySpace="0" w:legacyIndent="1021"/>
      <w:lvlJc w:val="left"/>
      <w:pPr>
        <w:ind w:left="1021" w:hanging="1021"/>
      </w:pPr>
      <w:rPr>
        <w:color w:val="333399"/>
      </w:rPr>
    </w:lvl>
  </w:abstractNum>
  <w:abstractNum w:abstractNumId="15" w15:restartNumberingAfterBreak="0">
    <w:nsid w:val="1537262E"/>
    <w:multiLevelType w:val="hybridMultilevel"/>
    <w:tmpl w:val="D84C586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6" w15:restartNumberingAfterBreak="0">
    <w:nsid w:val="17751CB7"/>
    <w:multiLevelType w:val="hybridMultilevel"/>
    <w:tmpl w:val="4E80015C"/>
    <w:lvl w:ilvl="0" w:tplc="781E82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CA77AD5"/>
    <w:multiLevelType w:val="hybridMultilevel"/>
    <w:tmpl w:val="F6A6F3FE"/>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8" w15:restartNumberingAfterBreak="0">
    <w:nsid w:val="20FB6592"/>
    <w:multiLevelType w:val="hybridMultilevel"/>
    <w:tmpl w:val="CCC05A04"/>
    <w:lvl w:ilvl="0" w:tplc="04160001">
      <w:start w:val="1"/>
      <w:numFmt w:val="bullet"/>
      <w:lvlText w:val=""/>
      <w:lvlJc w:val="left"/>
      <w:pPr>
        <w:ind w:left="1080" w:hanging="72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80617B6"/>
    <w:multiLevelType w:val="hybridMultilevel"/>
    <w:tmpl w:val="A33EFD52"/>
    <w:lvl w:ilvl="0" w:tplc="666CB6C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F1B652E"/>
    <w:multiLevelType w:val="hybridMultilevel"/>
    <w:tmpl w:val="49964DFC"/>
    <w:lvl w:ilvl="0" w:tplc="B6D46A80">
      <w:start w:val="1"/>
      <w:numFmt w:val="lowerLetter"/>
      <w:lvlText w:val="(%1)"/>
      <w:lvlJc w:val="left"/>
      <w:pPr>
        <w:ind w:left="7732" w:hanging="360"/>
      </w:pPr>
      <w:rPr>
        <w:rFonts w:hint="default"/>
      </w:rPr>
    </w:lvl>
    <w:lvl w:ilvl="1" w:tplc="04160019" w:tentative="1">
      <w:start w:val="1"/>
      <w:numFmt w:val="lowerLetter"/>
      <w:lvlText w:val="%2."/>
      <w:lvlJc w:val="left"/>
      <w:pPr>
        <w:ind w:left="8452" w:hanging="360"/>
      </w:pPr>
    </w:lvl>
    <w:lvl w:ilvl="2" w:tplc="0416001B" w:tentative="1">
      <w:start w:val="1"/>
      <w:numFmt w:val="lowerRoman"/>
      <w:lvlText w:val="%3."/>
      <w:lvlJc w:val="right"/>
      <w:pPr>
        <w:ind w:left="9172" w:hanging="180"/>
      </w:pPr>
    </w:lvl>
    <w:lvl w:ilvl="3" w:tplc="0416000F" w:tentative="1">
      <w:start w:val="1"/>
      <w:numFmt w:val="decimal"/>
      <w:lvlText w:val="%4."/>
      <w:lvlJc w:val="left"/>
      <w:pPr>
        <w:ind w:left="9892" w:hanging="360"/>
      </w:pPr>
    </w:lvl>
    <w:lvl w:ilvl="4" w:tplc="04160019" w:tentative="1">
      <w:start w:val="1"/>
      <w:numFmt w:val="lowerLetter"/>
      <w:lvlText w:val="%5."/>
      <w:lvlJc w:val="left"/>
      <w:pPr>
        <w:ind w:left="10612" w:hanging="360"/>
      </w:pPr>
    </w:lvl>
    <w:lvl w:ilvl="5" w:tplc="0416001B" w:tentative="1">
      <w:start w:val="1"/>
      <w:numFmt w:val="lowerRoman"/>
      <w:lvlText w:val="%6."/>
      <w:lvlJc w:val="right"/>
      <w:pPr>
        <w:ind w:left="11332" w:hanging="180"/>
      </w:pPr>
    </w:lvl>
    <w:lvl w:ilvl="6" w:tplc="0416000F" w:tentative="1">
      <w:start w:val="1"/>
      <w:numFmt w:val="decimal"/>
      <w:lvlText w:val="%7."/>
      <w:lvlJc w:val="left"/>
      <w:pPr>
        <w:ind w:left="12052" w:hanging="360"/>
      </w:pPr>
    </w:lvl>
    <w:lvl w:ilvl="7" w:tplc="04160019" w:tentative="1">
      <w:start w:val="1"/>
      <w:numFmt w:val="lowerLetter"/>
      <w:lvlText w:val="%8."/>
      <w:lvlJc w:val="left"/>
      <w:pPr>
        <w:ind w:left="12772" w:hanging="360"/>
      </w:pPr>
    </w:lvl>
    <w:lvl w:ilvl="8" w:tplc="0416001B" w:tentative="1">
      <w:start w:val="1"/>
      <w:numFmt w:val="lowerRoman"/>
      <w:lvlText w:val="%9."/>
      <w:lvlJc w:val="right"/>
      <w:pPr>
        <w:ind w:left="13492" w:hanging="180"/>
      </w:pPr>
    </w:lvl>
  </w:abstractNum>
  <w:abstractNum w:abstractNumId="21" w15:restartNumberingAfterBreak="0">
    <w:nsid w:val="314F65ED"/>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2" w15:restartNumberingAfterBreak="0">
    <w:nsid w:val="34265417"/>
    <w:multiLevelType w:val="hybridMultilevel"/>
    <w:tmpl w:val="DB98060E"/>
    <w:lvl w:ilvl="0" w:tplc="D75C875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8001659"/>
    <w:multiLevelType w:val="hybridMultilevel"/>
    <w:tmpl w:val="6FAED1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A051B88"/>
    <w:multiLevelType w:val="hybridMultilevel"/>
    <w:tmpl w:val="4BBE0558"/>
    <w:lvl w:ilvl="0" w:tplc="A6544F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28D6086"/>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6" w15:restartNumberingAfterBreak="0">
    <w:nsid w:val="49946D55"/>
    <w:multiLevelType w:val="singleLevel"/>
    <w:tmpl w:val="02749756"/>
    <w:lvl w:ilvl="0">
      <w:start w:val="2"/>
      <w:numFmt w:val="decimal"/>
      <w:lvlText w:val="NOTA %1."/>
      <w:legacy w:legacy="1" w:legacySpace="0" w:legacyIndent="1021"/>
      <w:lvlJc w:val="left"/>
      <w:pPr>
        <w:ind w:left="1021" w:hanging="1021"/>
      </w:pPr>
      <w:rPr>
        <w:color w:val="333399"/>
      </w:rPr>
    </w:lvl>
  </w:abstractNum>
  <w:abstractNum w:abstractNumId="27" w15:restartNumberingAfterBreak="0">
    <w:nsid w:val="4ADF0983"/>
    <w:multiLevelType w:val="hybridMultilevel"/>
    <w:tmpl w:val="87B8481E"/>
    <w:lvl w:ilvl="0" w:tplc="9328122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BE14974"/>
    <w:multiLevelType w:val="hybridMultilevel"/>
    <w:tmpl w:val="654A2F0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1CF4ADF"/>
    <w:multiLevelType w:val="hybridMultilevel"/>
    <w:tmpl w:val="6712A466"/>
    <w:lvl w:ilvl="0" w:tplc="FE106FF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7C32326"/>
    <w:multiLevelType w:val="hybridMultilevel"/>
    <w:tmpl w:val="C48CA688"/>
    <w:lvl w:ilvl="0" w:tplc="04160017">
      <w:start w:val="1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912610E"/>
    <w:multiLevelType w:val="hybridMultilevel"/>
    <w:tmpl w:val="0290C31E"/>
    <w:lvl w:ilvl="0" w:tplc="DD4A04E6">
      <w:start w:val="1"/>
      <w:numFmt w:val="lowerRoman"/>
      <w:lvlText w:val="%1."/>
      <w:lvlJc w:val="left"/>
      <w:pPr>
        <w:ind w:left="1080" w:hanging="720"/>
      </w:pPr>
      <w:rPr>
        <w:rFonts w:ascii="Arial" w:eastAsia="Tahoma"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BDE1D67"/>
    <w:multiLevelType w:val="hybridMultilevel"/>
    <w:tmpl w:val="74A66D10"/>
    <w:lvl w:ilvl="0" w:tplc="7F4893F4">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457CF9"/>
    <w:multiLevelType w:val="hybridMultilevel"/>
    <w:tmpl w:val="0ED6811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D9E4EC5"/>
    <w:multiLevelType w:val="hybridMultilevel"/>
    <w:tmpl w:val="6C7671B4"/>
    <w:lvl w:ilvl="0" w:tplc="BCFE13B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6EF32EA"/>
    <w:multiLevelType w:val="hybridMultilevel"/>
    <w:tmpl w:val="44B2EC10"/>
    <w:lvl w:ilvl="0" w:tplc="820EE44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013C92"/>
    <w:multiLevelType w:val="singleLevel"/>
    <w:tmpl w:val="22544F48"/>
    <w:lvl w:ilvl="0">
      <w:start w:val="1"/>
      <w:numFmt w:val="decimal"/>
      <w:lvlText w:val="NOTA %1."/>
      <w:legacy w:legacy="1" w:legacySpace="0" w:legacyIndent="1021"/>
      <w:lvlJc w:val="left"/>
      <w:pPr>
        <w:ind w:left="1021" w:hanging="1021"/>
      </w:pPr>
      <w:rPr>
        <w:color w:val="333399"/>
      </w:rPr>
    </w:lvl>
  </w:abstractNum>
  <w:abstractNum w:abstractNumId="37" w15:restartNumberingAfterBreak="0">
    <w:nsid w:val="6A8078EB"/>
    <w:multiLevelType w:val="multilevel"/>
    <w:tmpl w:val="654A2F0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1977CCA"/>
    <w:multiLevelType w:val="hybridMultilevel"/>
    <w:tmpl w:val="3A427466"/>
    <w:lvl w:ilvl="0" w:tplc="F47258A8">
      <w:start w:val="1"/>
      <w:numFmt w:val="decimal"/>
      <w:lvlText w:val="%1."/>
      <w:lvlJc w:val="left"/>
      <w:pPr>
        <w:ind w:left="1068" w:hanging="36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9" w15:restartNumberingAfterBreak="0">
    <w:nsid w:val="74110869"/>
    <w:multiLevelType w:val="hybridMultilevel"/>
    <w:tmpl w:val="C6FAF3D6"/>
    <w:lvl w:ilvl="0" w:tplc="50E6F9D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6630767"/>
    <w:multiLevelType w:val="hybridMultilevel"/>
    <w:tmpl w:val="B2F4DB9E"/>
    <w:lvl w:ilvl="0" w:tplc="CBEA7750">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41" w15:restartNumberingAfterBreak="0">
    <w:nsid w:val="7902270A"/>
    <w:multiLevelType w:val="hybridMultilevel"/>
    <w:tmpl w:val="FE8E3294"/>
    <w:lvl w:ilvl="0" w:tplc="3DE045BE">
      <w:start w:val="1"/>
      <w:numFmt w:val="lowerLetter"/>
      <w:lvlText w:val="%1)"/>
      <w:lvlJc w:val="left"/>
      <w:pPr>
        <w:tabs>
          <w:tab w:val="num" w:pos="1063"/>
        </w:tabs>
        <w:ind w:left="1063" w:hanging="360"/>
      </w:pPr>
      <w:rPr>
        <w:rFonts w:hint="default"/>
      </w:rPr>
    </w:lvl>
    <w:lvl w:ilvl="1" w:tplc="04160019" w:tentative="1">
      <w:start w:val="1"/>
      <w:numFmt w:val="lowerLetter"/>
      <w:lvlText w:val="%2."/>
      <w:lvlJc w:val="left"/>
      <w:pPr>
        <w:tabs>
          <w:tab w:val="num" w:pos="1783"/>
        </w:tabs>
        <w:ind w:left="1783" w:hanging="360"/>
      </w:pPr>
    </w:lvl>
    <w:lvl w:ilvl="2" w:tplc="0416001B" w:tentative="1">
      <w:start w:val="1"/>
      <w:numFmt w:val="lowerRoman"/>
      <w:lvlText w:val="%3."/>
      <w:lvlJc w:val="right"/>
      <w:pPr>
        <w:tabs>
          <w:tab w:val="num" w:pos="2503"/>
        </w:tabs>
        <w:ind w:left="2503" w:hanging="180"/>
      </w:pPr>
    </w:lvl>
    <w:lvl w:ilvl="3" w:tplc="0416000F" w:tentative="1">
      <w:start w:val="1"/>
      <w:numFmt w:val="decimal"/>
      <w:lvlText w:val="%4."/>
      <w:lvlJc w:val="left"/>
      <w:pPr>
        <w:tabs>
          <w:tab w:val="num" w:pos="3223"/>
        </w:tabs>
        <w:ind w:left="3223" w:hanging="360"/>
      </w:pPr>
    </w:lvl>
    <w:lvl w:ilvl="4" w:tplc="04160019" w:tentative="1">
      <w:start w:val="1"/>
      <w:numFmt w:val="lowerLetter"/>
      <w:lvlText w:val="%5."/>
      <w:lvlJc w:val="left"/>
      <w:pPr>
        <w:tabs>
          <w:tab w:val="num" w:pos="3943"/>
        </w:tabs>
        <w:ind w:left="3943" w:hanging="360"/>
      </w:pPr>
    </w:lvl>
    <w:lvl w:ilvl="5" w:tplc="0416001B" w:tentative="1">
      <w:start w:val="1"/>
      <w:numFmt w:val="lowerRoman"/>
      <w:lvlText w:val="%6."/>
      <w:lvlJc w:val="right"/>
      <w:pPr>
        <w:tabs>
          <w:tab w:val="num" w:pos="4663"/>
        </w:tabs>
        <w:ind w:left="4663" w:hanging="180"/>
      </w:pPr>
    </w:lvl>
    <w:lvl w:ilvl="6" w:tplc="0416000F" w:tentative="1">
      <w:start w:val="1"/>
      <w:numFmt w:val="decimal"/>
      <w:lvlText w:val="%7."/>
      <w:lvlJc w:val="left"/>
      <w:pPr>
        <w:tabs>
          <w:tab w:val="num" w:pos="5383"/>
        </w:tabs>
        <w:ind w:left="5383" w:hanging="360"/>
      </w:pPr>
    </w:lvl>
    <w:lvl w:ilvl="7" w:tplc="04160019" w:tentative="1">
      <w:start w:val="1"/>
      <w:numFmt w:val="lowerLetter"/>
      <w:lvlText w:val="%8."/>
      <w:lvlJc w:val="left"/>
      <w:pPr>
        <w:tabs>
          <w:tab w:val="num" w:pos="6103"/>
        </w:tabs>
        <w:ind w:left="6103" w:hanging="360"/>
      </w:pPr>
    </w:lvl>
    <w:lvl w:ilvl="8" w:tplc="0416001B" w:tentative="1">
      <w:start w:val="1"/>
      <w:numFmt w:val="lowerRoman"/>
      <w:lvlText w:val="%9."/>
      <w:lvlJc w:val="right"/>
      <w:pPr>
        <w:tabs>
          <w:tab w:val="num" w:pos="6823"/>
        </w:tabs>
        <w:ind w:left="6823" w:hanging="180"/>
      </w:pPr>
    </w:lvl>
  </w:abstractNum>
  <w:abstractNum w:abstractNumId="42" w15:restartNumberingAfterBreak="0">
    <w:nsid w:val="7D6448A9"/>
    <w:multiLevelType w:val="hybridMultilevel"/>
    <w:tmpl w:val="639248B6"/>
    <w:lvl w:ilvl="0" w:tplc="5D7CECAE">
      <w:start w:val="1"/>
      <w:numFmt w:val="lowerRoman"/>
      <w:lvlText w:val="%1."/>
      <w:lvlJc w:val="left"/>
      <w:pPr>
        <w:ind w:left="1080" w:hanging="72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31"/>
  </w:num>
  <w:num w:numId="5">
    <w:abstractNumId w:val="42"/>
  </w:num>
  <w:num w:numId="6">
    <w:abstractNumId w:val="38"/>
  </w:num>
  <w:num w:numId="7">
    <w:abstractNumId w:val="40"/>
  </w:num>
  <w:num w:numId="8">
    <w:abstractNumId w:val="41"/>
  </w:num>
  <w:num w:numId="9">
    <w:abstractNumId w:val="32"/>
  </w:num>
  <w:num w:numId="10">
    <w:abstractNumId w:val="36"/>
  </w:num>
  <w:num w:numId="11">
    <w:abstractNumId w:val="26"/>
  </w:num>
  <w:num w:numId="12">
    <w:abstractNumId w:val="17"/>
  </w:num>
  <w:num w:numId="13">
    <w:abstractNumId w:val="14"/>
  </w:num>
  <w:num w:numId="14">
    <w:abstractNumId w:val="2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37"/>
  </w:num>
  <w:num w:numId="26">
    <w:abstractNumId w:val="30"/>
  </w:num>
  <w:num w:numId="27">
    <w:abstractNumId w:val="34"/>
  </w:num>
  <w:num w:numId="28">
    <w:abstractNumId w:val="19"/>
  </w:num>
  <w:num w:numId="29">
    <w:abstractNumId w:val="35"/>
  </w:num>
  <w:num w:numId="30">
    <w:abstractNumId w:val="27"/>
  </w:num>
  <w:num w:numId="31">
    <w:abstractNumId w:val="33"/>
  </w:num>
  <w:num w:numId="32">
    <w:abstractNumId w:val="13"/>
  </w:num>
  <w:num w:numId="33">
    <w:abstractNumId w:val="29"/>
  </w:num>
  <w:num w:numId="34">
    <w:abstractNumId w:val="23"/>
  </w:num>
  <w:num w:numId="35">
    <w:abstractNumId w:val="20"/>
  </w:num>
  <w:num w:numId="36">
    <w:abstractNumId w:val="39"/>
  </w:num>
  <w:num w:numId="37">
    <w:abstractNumId w:val="16"/>
  </w:num>
  <w:num w:numId="38">
    <w:abstractNumId w:val="22"/>
  </w:num>
  <w:num w:numId="39">
    <w:abstractNumId w:val="25"/>
  </w:num>
  <w:num w:numId="40">
    <w:abstractNumId w:val="21"/>
  </w:num>
  <w:num w:numId="41">
    <w:abstractNumId w:val="24"/>
  </w:num>
  <w:num w:numId="42">
    <w:abstractNumId w:val="15"/>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proofState w:spelling="clean" w:grammar="clean"/>
  <w:defaultTabStop w:val="708"/>
  <w:hyphenationZone w:val="425"/>
  <w:characterSpacingControl w:val="doNotCompress"/>
  <w:hdrShapeDefaults>
    <o:shapedefaults v:ext="edit" spidmax="41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253"/>
    <w:rsid w:val="00000016"/>
    <w:rsid w:val="0000027F"/>
    <w:rsid w:val="00000857"/>
    <w:rsid w:val="00001AB3"/>
    <w:rsid w:val="00001B1F"/>
    <w:rsid w:val="000024FD"/>
    <w:rsid w:val="00002944"/>
    <w:rsid w:val="0000339E"/>
    <w:rsid w:val="00003B53"/>
    <w:rsid w:val="00005C9C"/>
    <w:rsid w:val="00006066"/>
    <w:rsid w:val="00006575"/>
    <w:rsid w:val="00006716"/>
    <w:rsid w:val="00006900"/>
    <w:rsid w:val="000073B4"/>
    <w:rsid w:val="0000774D"/>
    <w:rsid w:val="0001059F"/>
    <w:rsid w:val="000110A9"/>
    <w:rsid w:val="0001132A"/>
    <w:rsid w:val="00011B56"/>
    <w:rsid w:val="000126EC"/>
    <w:rsid w:val="00013646"/>
    <w:rsid w:val="00013E07"/>
    <w:rsid w:val="00014095"/>
    <w:rsid w:val="000142B6"/>
    <w:rsid w:val="00014E98"/>
    <w:rsid w:val="00015C23"/>
    <w:rsid w:val="00016991"/>
    <w:rsid w:val="00016B53"/>
    <w:rsid w:val="00016F84"/>
    <w:rsid w:val="00020D7A"/>
    <w:rsid w:val="000212DC"/>
    <w:rsid w:val="000217A8"/>
    <w:rsid w:val="00021957"/>
    <w:rsid w:val="0002273A"/>
    <w:rsid w:val="00022A2A"/>
    <w:rsid w:val="00022A62"/>
    <w:rsid w:val="000238CF"/>
    <w:rsid w:val="00023AB1"/>
    <w:rsid w:val="00023D99"/>
    <w:rsid w:val="000247DD"/>
    <w:rsid w:val="00024B5A"/>
    <w:rsid w:val="00024CD6"/>
    <w:rsid w:val="00024DF9"/>
    <w:rsid w:val="000253F5"/>
    <w:rsid w:val="000257E4"/>
    <w:rsid w:val="00026125"/>
    <w:rsid w:val="0002716D"/>
    <w:rsid w:val="00027EBC"/>
    <w:rsid w:val="00027FA1"/>
    <w:rsid w:val="00030C8E"/>
    <w:rsid w:val="000318B3"/>
    <w:rsid w:val="0003242C"/>
    <w:rsid w:val="000331A1"/>
    <w:rsid w:val="0003359F"/>
    <w:rsid w:val="00033966"/>
    <w:rsid w:val="000344F8"/>
    <w:rsid w:val="000346C2"/>
    <w:rsid w:val="00035149"/>
    <w:rsid w:val="00036E26"/>
    <w:rsid w:val="00037109"/>
    <w:rsid w:val="000374E4"/>
    <w:rsid w:val="00040B7F"/>
    <w:rsid w:val="00040CB5"/>
    <w:rsid w:val="00041E48"/>
    <w:rsid w:val="00041E8C"/>
    <w:rsid w:val="0004232A"/>
    <w:rsid w:val="00043CA7"/>
    <w:rsid w:val="0004407E"/>
    <w:rsid w:val="000446D3"/>
    <w:rsid w:val="00044EA8"/>
    <w:rsid w:val="000451B5"/>
    <w:rsid w:val="00045440"/>
    <w:rsid w:val="00047C15"/>
    <w:rsid w:val="00051C38"/>
    <w:rsid w:val="0005259A"/>
    <w:rsid w:val="00053E17"/>
    <w:rsid w:val="00054F3D"/>
    <w:rsid w:val="00055AB7"/>
    <w:rsid w:val="00055C9A"/>
    <w:rsid w:val="00056DD6"/>
    <w:rsid w:val="000579DA"/>
    <w:rsid w:val="00060B0F"/>
    <w:rsid w:val="00060D6F"/>
    <w:rsid w:val="00060DD9"/>
    <w:rsid w:val="000613A3"/>
    <w:rsid w:val="00063798"/>
    <w:rsid w:val="00063923"/>
    <w:rsid w:val="000643C6"/>
    <w:rsid w:val="000654EC"/>
    <w:rsid w:val="0006580E"/>
    <w:rsid w:val="00065CE9"/>
    <w:rsid w:val="00065D67"/>
    <w:rsid w:val="00065E58"/>
    <w:rsid w:val="000666B0"/>
    <w:rsid w:val="000679F1"/>
    <w:rsid w:val="0007061B"/>
    <w:rsid w:val="000717DB"/>
    <w:rsid w:val="00071807"/>
    <w:rsid w:val="000721C2"/>
    <w:rsid w:val="000728D7"/>
    <w:rsid w:val="000735AE"/>
    <w:rsid w:val="00073938"/>
    <w:rsid w:val="000757EA"/>
    <w:rsid w:val="000767CA"/>
    <w:rsid w:val="00076D7E"/>
    <w:rsid w:val="00077403"/>
    <w:rsid w:val="00080657"/>
    <w:rsid w:val="000806D2"/>
    <w:rsid w:val="00081C74"/>
    <w:rsid w:val="0008341A"/>
    <w:rsid w:val="00083D66"/>
    <w:rsid w:val="00083E1D"/>
    <w:rsid w:val="00083FF4"/>
    <w:rsid w:val="00085B17"/>
    <w:rsid w:val="00085BFA"/>
    <w:rsid w:val="000865F8"/>
    <w:rsid w:val="0008788B"/>
    <w:rsid w:val="00090275"/>
    <w:rsid w:val="00090CF5"/>
    <w:rsid w:val="00091A98"/>
    <w:rsid w:val="00091FCC"/>
    <w:rsid w:val="000927D0"/>
    <w:rsid w:val="00092AAE"/>
    <w:rsid w:val="000941D0"/>
    <w:rsid w:val="0009604E"/>
    <w:rsid w:val="00096A6C"/>
    <w:rsid w:val="000977CD"/>
    <w:rsid w:val="000A03BD"/>
    <w:rsid w:val="000A0E0D"/>
    <w:rsid w:val="000A0E66"/>
    <w:rsid w:val="000A1053"/>
    <w:rsid w:val="000A1A48"/>
    <w:rsid w:val="000A347B"/>
    <w:rsid w:val="000A36F1"/>
    <w:rsid w:val="000A43A2"/>
    <w:rsid w:val="000A5CD4"/>
    <w:rsid w:val="000B093C"/>
    <w:rsid w:val="000B15D1"/>
    <w:rsid w:val="000B1A71"/>
    <w:rsid w:val="000B2472"/>
    <w:rsid w:val="000B3A85"/>
    <w:rsid w:val="000B3AB6"/>
    <w:rsid w:val="000B5F34"/>
    <w:rsid w:val="000B6088"/>
    <w:rsid w:val="000B6B8E"/>
    <w:rsid w:val="000B6E22"/>
    <w:rsid w:val="000B73A7"/>
    <w:rsid w:val="000B7C35"/>
    <w:rsid w:val="000B7D1F"/>
    <w:rsid w:val="000C1989"/>
    <w:rsid w:val="000C42D0"/>
    <w:rsid w:val="000C50F2"/>
    <w:rsid w:val="000C5BE7"/>
    <w:rsid w:val="000C5CC2"/>
    <w:rsid w:val="000C5D31"/>
    <w:rsid w:val="000C683D"/>
    <w:rsid w:val="000C7225"/>
    <w:rsid w:val="000C739B"/>
    <w:rsid w:val="000C7C2B"/>
    <w:rsid w:val="000C7C75"/>
    <w:rsid w:val="000C7C7E"/>
    <w:rsid w:val="000D0131"/>
    <w:rsid w:val="000D0F11"/>
    <w:rsid w:val="000D1AF1"/>
    <w:rsid w:val="000D323C"/>
    <w:rsid w:val="000D34B5"/>
    <w:rsid w:val="000D3A73"/>
    <w:rsid w:val="000D6AEA"/>
    <w:rsid w:val="000D75EF"/>
    <w:rsid w:val="000E17BD"/>
    <w:rsid w:val="000E246C"/>
    <w:rsid w:val="000E3CD5"/>
    <w:rsid w:val="000E52BE"/>
    <w:rsid w:val="000E5F8E"/>
    <w:rsid w:val="000E60CA"/>
    <w:rsid w:val="000E706D"/>
    <w:rsid w:val="000E7A09"/>
    <w:rsid w:val="000E7AA8"/>
    <w:rsid w:val="000F0138"/>
    <w:rsid w:val="000F175B"/>
    <w:rsid w:val="000F2D02"/>
    <w:rsid w:val="000F3149"/>
    <w:rsid w:val="000F37C3"/>
    <w:rsid w:val="000F39BE"/>
    <w:rsid w:val="000F57FD"/>
    <w:rsid w:val="000F612D"/>
    <w:rsid w:val="000F61E9"/>
    <w:rsid w:val="000F6D34"/>
    <w:rsid w:val="000F6F3E"/>
    <w:rsid w:val="000F74C8"/>
    <w:rsid w:val="001000BE"/>
    <w:rsid w:val="00100D18"/>
    <w:rsid w:val="001023E5"/>
    <w:rsid w:val="00102BA6"/>
    <w:rsid w:val="0010536B"/>
    <w:rsid w:val="00105B56"/>
    <w:rsid w:val="001072F2"/>
    <w:rsid w:val="00110EE9"/>
    <w:rsid w:val="00111EA6"/>
    <w:rsid w:val="001120D6"/>
    <w:rsid w:val="001145E7"/>
    <w:rsid w:val="001146C1"/>
    <w:rsid w:val="00114EE4"/>
    <w:rsid w:val="001150C4"/>
    <w:rsid w:val="00115144"/>
    <w:rsid w:val="00115EA4"/>
    <w:rsid w:val="00120088"/>
    <w:rsid w:val="0012214D"/>
    <w:rsid w:val="00122DAB"/>
    <w:rsid w:val="00122EAD"/>
    <w:rsid w:val="00123DE3"/>
    <w:rsid w:val="0012426B"/>
    <w:rsid w:val="00125014"/>
    <w:rsid w:val="00125270"/>
    <w:rsid w:val="0012755C"/>
    <w:rsid w:val="00130448"/>
    <w:rsid w:val="0013088F"/>
    <w:rsid w:val="00130B61"/>
    <w:rsid w:val="00130EF7"/>
    <w:rsid w:val="00131104"/>
    <w:rsid w:val="001318A1"/>
    <w:rsid w:val="001324BA"/>
    <w:rsid w:val="00133491"/>
    <w:rsid w:val="00133503"/>
    <w:rsid w:val="001349C6"/>
    <w:rsid w:val="00134D9E"/>
    <w:rsid w:val="00135BD3"/>
    <w:rsid w:val="00136B1A"/>
    <w:rsid w:val="00136FA8"/>
    <w:rsid w:val="00137979"/>
    <w:rsid w:val="00137D49"/>
    <w:rsid w:val="001405C3"/>
    <w:rsid w:val="00140A3C"/>
    <w:rsid w:val="00141F35"/>
    <w:rsid w:val="00143FFA"/>
    <w:rsid w:val="001440D4"/>
    <w:rsid w:val="00144983"/>
    <w:rsid w:val="00144D4C"/>
    <w:rsid w:val="00145C50"/>
    <w:rsid w:val="00145D6F"/>
    <w:rsid w:val="001465C9"/>
    <w:rsid w:val="00146BB5"/>
    <w:rsid w:val="00146BDF"/>
    <w:rsid w:val="00146DBC"/>
    <w:rsid w:val="0014757C"/>
    <w:rsid w:val="00147C4C"/>
    <w:rsid w:val="00150B96"/>
    <w:rsid w:val="001513D6"/>
    <w:rsid w:val="00151EE3"/>
    <w:rsid w:val="0015230F"/>
    <w:rsid w:val="001531E0"/>
    <w:rsid w:val="0015362B"/>
    <w:rsid w:val="001540D4"/>
    <w:rsid w:val="00156A0B"/>
    <w:rsid w:val="00156D6B"/>
    <w:rsid w:val="00156FF2"/>
    <w:rsid w:val="00157127"/>
    <w:rsid w:val="001606AF"/>
    <w:rsid w:val="001606C7"/>
    <w:rsid w:val="00160EA2"/>
    <w:rsid w:val="001611F7"/>
    <w:rsid w:val="001614FD"/>
    <w:rsid w:val="001620E9"/>
    <w:rsid w:val="00162D8F"/>
    <w:rsid w:val="00162FE2"/>
    <w:rsid w:val="00162FF8"/>
    <w:rsid w:val="00163609"/>
    <w:rsid w:val="00163723"/>
    <w:rsid w:val="00163DE2"/>
    <w:rsid w:val="0016478B"/>
    <w:rsid w:val="00165AEA"/>
    <w:rsid w:val="001677A9"/>
    <w:rsid w:val="00167937"/>
    <w:rsid w:val="001702FF"/>
    <w:rsid w:val="0017065E"/>
    <w:rsid w:val="00172AC4"/>
    <w:rsid w:val="00174C9A"/>
    <w:rsid w:val="001756F5"/>
    <w:rsid w:val="001763E5"/>
    <w:rsid w:val="00176863"/>
    <w:rsid w:val="00177420"/>
    <w:rsid w:val="00177CEA"/>
    <w:rsid w:val="0018053F"/>
    <w:rsid w:val="00180578"/>
    <w:rsid w:val="00180BFD"/>
    <w:rsid w:val="001814E6"/>
    <w:rsid w:val="00181EE9"/>
    <w:rsid w:val="00182158"/>
    <w:rsid w:val="0018232F"/>
    <w:rsid w:val="00182D7B"/>
    <w:rsid w:val="00183D35"/>
    <w:rsid w:val="0018414D"/>
    <w:rsid w:val="00184297"/>
    <w:rsid w:val="00184CC4"/>
    <w:rsid w:val="001852DB"/>
    <w:rsid w:val="001853A7"/>
    <w:rsid w:val="00186156"/>
    <w:rsid w:val="0018685D"/>
    <w:rsid w:val="00186B12"/>
    <w:rsid w:val="001876D7"/>
    <w:rsid w:val="00191265"/>
    <w:rsid w:val="00194F6D"/>
    <w:rsid w:val="001952FB"/>
    <w:rsid w:val="0019538E"/>
    <w:rsid w:val="00196674"/>
    <w:rsid w:val="0019678E"/>
    <w:rsid w:val="00196AE7"/>
    <w:rsid w:val="00196C41"/>
    <w:rsid w:val="00196EF4"/>
    <w:rsid w:val="001971B5"/>
    <w:rsid w:val="00197661"/>
    <w:rsid w:val="001A0172"/>
    <w:rsid w:val="001A0AFB"/>
    <w:rsid w:val="001A2CCE"/>
    <w:rsid w:val="001A597F"/>
    <w:rsid w:val="001A7414"/>
    <w:rsid w:val="001B1285"/>
    <w:rsid w:val="001B1E6A"/>
    <w:rsid w:val="001B1F41"/>
    <w:rsid w:val="001B2511"/>
    <w:rsid w:val="001B2B54"/>
    <w:rsid w:val="001B31DE"/>
    <w:rsid w:val="001B4AEB"/>
    <w:rsid w:val="001B4BEA"/>
    <w:rsid w:val="001B4DFD"/>
    <w:rsid w:val="001B5A3E"/>
    <w:rsid w:val="001B6357"/>
    <w:rsid w:val="001B65F6"/>
    <w:rsid w:val="001B7159"/>
    <w:rsid w:val="001B76BC"/>
    <w:rsid w:val="001B7920"/>
    <w:rsid w:val="001C04D3"/>
    <w:rsid w:val="001C0C39"/>
    <w:rsid w:val="001C2F5A"/>
    <w:rsid w:val="001C36D8"/>
    <w:rsid w:val="001C395D"/>
    <w:rsid w:val="001C3A0F"/>
    <w:rsid w:val="001C572E"/>
    <w:rsid w:val="001C58AC"/>
    <w:rsid w:val="001C5B90"/>
    <w:rsid w:val="001C6F0B"/>
    <w:rsid w:val="001C7444"/>
    <w:rsid w:val="001D07A0"/>
    <w:rsid w:val="001D1072"/>
    <w:rsid w:val="001D2966"/>
    <w:rsid w:val="001D5066"/>
    <w:rsid w:val="001D6368"/>
    <w:rsid w:val="001D6732"/>
    <w:rsid w:val="001D6C7E"/>
    <w:rsid w:val="001D6DC1"/>
    <w:rsid w:val="001E0370"/>
    <w:rsid w:val="001E0379"/>
    <w:rsid w:val="001E0C0E"/>
    <w:rsid w:val="001E1819"/>
    <w:rsid w:val="001E27D5"/>
    <w:rsid w:val="001E30B8"/>
    <w:rsid w:val="001E3756"/>
    <w:rsid w:val="001E3A40"/>
    <w:rsid w:val="001E4225"/>
    <w:rsid w:val="001E43E8"/>
    <w:rsid w:val="001E4C63"/>
    <w:rsid w:val="001E4C7A"/>
    <w:rsid w:val="001E580F"/>
    <w:rsid w:val="001E5E1E"/>
    <w:rsid w:val="001E66C1"/>
    <w:rsid w:val="001E7AE5"/>
    <w:rsid w:val="001E7BA8"/>
    <w:rsid w:val="001E7F5D"/>
    <w:rsid w:val="001F28BD"/>
    <w:rsid w:val="001F2961"/>
    <w:rsid w:val="001F2DBE"/>
    <w:rsid w:val="001F4498"/>
    <w:rsid w:val="001F46C4"/>
    <w:rsid w:val="001F5DD8"/>
    <w:rsid w:val="001F6F5B"/>
    <w:rsid w:val="001F71E4"/>
    <w:rsid w:val="001F7314"/>
    <w:rsid w:val="001F76E5"/>
    <w:rsid w:val="00200682"/>
    <w:rsid w:val="002015E6"/>
    <w:rsid w:val="00203B6D"/>
    <w:rsid w:val="00205338"/>
    <w:rsid w:val="0020620C"/>
    <w:rsid w:val="00206295"/>
    <w:rsid w:val="00210C3F"/>
    <w:rsid w:val="002117E3"/>
    <w:rsid w:val="002119A7"/>
    <w:rsid w:val="0021391D"/>
    <w:rsid w:val="00213B3C"/>
    <w:rsid w:val="0021409C"/>
    <w:rsid w:val="00214368"/>
    <w:rsid w:val="00214457"/>
    <w:rsid w:val="00215A63"/>
    <w:rsid w:val="00216163"/>
    <w:rsid w:val="002162FF"/>
    <w:rsid w:val="002163EE"/>
    <w:rsid w:val="00216943"/>
    <w:rsid w:val="00216A1F"/>
    <w:rsid w:val="00216C47"/>
    <w:rsid w:val="00216C6B"/>
    <w:rsid w:val="002176BC"/>
    <w:rsid w:val="0022238F"/>
    <w:rsid w:val="00222817"/>
    <w:rsid w:val="00222AC1"/>
    <w:rsid w:val="00223B1D"/>
    <w:rsid w:val="00223C06"/>
    <w:rsid w:val="00224204"/>
    <w:rsid w:val="00224D3E"/>
    <w:rsid w:val="00225155"/>
    <w:rsid w:val="00226057"/>
    <w:rsid w:val="0022719E"/>
    <w:rsid w:val="00227B3F"/>
    <w:rsid w:val="002309F2"/>
    <w:rsid w:val="0023198A"/>
    <w:rsid w:val="00231B95"/>
    <w:rsid w:val="00233765"/>
    <w:rsid w:val="00233885"/>
    <w:rsid w:val="002339DD"/>
    <w:rsid w:val="00233D78"/>
    <w:rsid w:val="00234059"/>
    <w:rsid w:val="002346BB"/>
    <w:rsid w:val="002347F4"/>
    <w:rsid w:val="00234C3B"/>
    <w:rsid w:val="00235D4A"/>
    <w:rsid w:val="0023752E"/>
    <w:rsid w:val="00241495"/>
    <w:rsid w:val="002416EA"/>
    <w:rsid w:val="00243536"/>
    <w:rsid w:val="00243782"/>
    <w:rsid w:val="0024416C"/>
    <w:rsid w:val="002444F4"/>
    <w:rsid w:val="00244E88"/>
    <w:rsid w:val="002450A5"/>
    <w:rsid w:val="00245986"/>
    <w:rsid w:val="00245D48"/>
    <w:rsid w:val="002462C5"/>
    <w:rsid w:val="002462E6"/>
    <w:rsid w:val="002463F1"/>
    <w:rsid w:val="0025172E"/>
    <w:rsid w:val="00252036"/>
    <w:rsid w:val="00252305"/>
    <w:rsid w:val="00253EDA"/>
    <w:rsid w:val="00254016"/>
    <w:rsid w:val="002542A4"/>
    <w:rsid w:val="00255308"/>
    <w:rsid w:val="0025550C"/>
    <w:rsid w:val="0025619E"/>
    <w:rsid w:val="002565D4"/>
    <w:rsid w:val="0025678B"/>
    <w:rsid w:val="00257031"/>
    <w:rsid w:val="00257111"/>
    <w:rsid w:val="00260305"/>
    <w:rsid w:val="00260E5D"/>
    <w:rsid w:val="00261CB0"/>
    <w:rsid w:val="002627F3"/>
    <w:rsid w:val="0026281B"/>
    <w:rsid w:val="00263885"/>
    <w:rsid w:val="00263AF6"/>
    <w:rsid w:val="002641F6"/>
    <w:rsid w:val="0026500C"/>
    <w:rsid w:val="00265ED1"/>
    <w:rsid w:val="00266F83"/>
    <w:rsid w:val="00267C0C"/>
    <w:rsid w:val="002723E1"/>
    <w:rsid w:val="00272B88"/>
    <w:rsid w:val="00272EF5"/>
    <w:rsid w:val="00273490"/>
    <w:rsid w:val="00273F58"/>
    <w:rsid w:val="0027698D"/>
    <w:rsid w:val="00277F27"/>
    <w:rsid w:val="0028157F"/>
    <w:rsid w:val="00282C7A"/>
    <w:rsid w:val="00282FE9"/>
    <w:rsid w:val="00283A16"/>
    <w:rsid w:val="00283E08"/>
    <w:rsid w:val="00284384"/>
    <w:rsid w:val="00285379"/>
    <w:rsid w:val="002858DA"/>
    <w:rsid w:val="002865ED"/>
    <w:rsid w:val="00287F55"/>
    <w:rsid w:val="00290561"/>
    <w:rsid w:val="0029234D"/>
    <w:rsid w:val="00294853"/>
    <w:rsid w:val="00294AFE"/>
    <w:rsid w:val="00295369"/>
    <w:rsid w:val="002955FD"/>
    <w:rsid w:val="0029711D"/>
    <w:rsid w:val="002975B6"/>
    <w:rsid w:val="002A0639"/>
    <w:rsid w:val="002A0BE6"/>
    <w:rsid w:val="002A0EBC"/>
    <w:rsid w:val="002A2E7A"/>
    <w:rsid w:val="002A3BDB"/>
    <w:rsid w:val="002A40A8"/>
    <w:rsid w:val="002A40CE"/>
    <w:rsid w:val="002A47BD"/>
    <w:rsid w:val="002A4B06"/>
    <w:rsid w:val="002A56C1"/>
    <w:rsid w:val="002A60D1"/>
    <w:rsid w:val="002A6CE7"/>
    <w:rsid w:val="002A7518"/>
    <w:rsid w:val="002A791F"/>
    <w:rsid w:val="002B184B"/>
    <w:rsid w:val="002B330D"/>
    <w:rsid w:val="002B44B4"/>
    <w:rsid w:val="002B4F6A"/>
    <w:rsid w:val="002B4FB9"/>
    <w:rsid w:val="002B7006"/>
    <w:rsid w:val="002B7488"/>
    <w:rsid w:val="002B7E07"/>
    <w:rsid w:val="002B7FCB"/>
    <w:rsid w:val="002C1D58"/>
    <w:rsid w:val="002C34A0"/>
    <w:rsid w:val="002C3C8C"/>
    <w:rsid w:val="002C3D5B"/>
    <w:rsid w:val="002C5434"/>
    <w:rsid w:val="002C5858"/>
    <w:rsid w:val="002C5AA6"/>
    <w:rsid w:val="002C6314"/>
    <w:rsid w:val="002C6AEC"/>
    <w:rsid w:val="002D08B9"/>
    <w:rsid w:val="002D0D37"/>
    <w:rsid w:val="002D2C59"/>
    <w:rsid w:val="002D7D56"/>
    <w:rsid w:val="002E0854"/>
    <w:rsid w:val="002E2024"/>
    <w:rsid w:val="002E2153"/>
    <w:rsid w:val="002E2BD2"/>
    <w:rsid w:val="002E2D83"/>
    <w:rsid w:val="002E2E7B"/>
    <w:rsid w:val="002E3317"/>
    <w:rsid w:val="002E3594"/>
    <w:rsid w:val="002E471A"/>
    <w:rsid w:val="002E4C55"/>
    <w:rsid w:val="002E60CC"/>
    <w:rsid w:val="002E6A97"/>
    <w:rsid w:val="002E7E15"/>
    <w:rsid w:val="002F0450"/>
    <w:rsid w:val="002F05E9"/>
    <w:rsid w:val="002F1D18"/>
    <w:rsid w:val="002F2009"/>
    <w:rsid w:val="002F280D"/>
    <w:rsid w:val="002F30C1"/>
    <w:rsid w:val="002F322C"/>
    <w:rsid w:val="002F432E"/>
    <w:rsid w:val="002F4FC2"/>
    <w:rsid w:val="002F573A"/>
    <w:rsid w:val="002F5C73"/>
    <w:rsid w:val="002F61DD"/>
    <w:rsid w:val="002F64A5"/>
    <w:rsid w:val="002F6AE5"/>
    <w:rsid w:val="00301154"/>
    <w:rsid w:val="00301402"/>
    <w:rsid w:val="003019C8"/>
    <w:rsid w:val="00301CF1"/>
    <w:rsid w:val="00302803"/>
    <w:rsid w:val="00303B93"/>
    <w:rsid w:val="00303ED0"/>
    <w:rsid w:val="003044D0"/>
    <w:rsid w:val="003045DC"/>
    <w:rsid w:val="003046B8"/>
    <w:rsid w:val="00305D74"/>
    <w:rsid w:val="0030612E"/>
    <w:rsid w:val="003067A6"/>
    <w:rsid w:val="0030684C"/>
    <w:rsid w:val="00306C02"/>
    <w:rsid w:val="00306C6F"/>
    <w:rsid w:val="0031030F"/>
    <w:rsid w:val="00310421"/>
    <w:rsid w:val="00310CF8"/>
    <w:rsid w:val="00310F0F"/>
    <w:rsid w:val="00312BB4"/>
    <w:rsid w:val="00312C75"/>
    <w:rsid w:val="003167B8"/>
    <w:rsid w:val="0031727F"/>
    <w:rsid w:val="00317A0A"/>
    <w:rsid w:val="00321418"/>
    <w:rsid w:val="0032157E"/>
    <w:rsid w:val="0032217C"/>
    <w:rsid w:val="003234C5"/>
    <w:rsid w:val="0032528B"/>
    <w:rsid w:val="00325506"/>
    <w:rsid w:val="00325E99"/>
    <w:rsid w:val="00326C24"/>
    <w:rsid w:val="003273F0"/>
    <w:rsid w:val="003303E9"/>
    <w:rsid w:val="00330F6C"/>
    <w:rsid w:val="003316C9"/>
    <w:rsid w:val="00331DA3"/>
    <w:rsid w:val="003327D7"/>
    <w:rsid w:val="00332BA0"/>
    <w:rsid w:val="003341C7"/>
    <w:rsid w:val="00334E9D"/>
    <w:rsid w:val="00334FF9"/>
    <w:rsid w:val="0033511A"/>
    <w:rsid w:val="0033556E"/>
    <w:rsid w:val="00335882"/>
    <w:rsid w:val="00336F9D"/>
    <w:rsid w:val="003373DF"/>
    <w:rsid w:val="00337444"/>
    <w:rsid w:val="00337FF7"/>
    <w:rsid w:val="003408A5"/>
    <w:rsid w:val="003421A1"/>
    <w:rsid w:val="00342628"/>
    <w:rsid w:val="00342695"/>
    <w:rsid w:val="00342B00"/>
    <w:rsid w:val="00343E64"/>
    <w:rsid w:val="00344503"/>
    <w:rsid w:val="0034520F"/>
    <w:rsid w:val="00345F85"/>
    <w:rsid w:val="003470FD"/>
    <w:rsid w:val="00347A50"/>
    <w:rsid w:val="00347F3B"/>
    <w:rsid w:val="00350513"/>
    <w:rsid w:val="003509FF"/>
    <w:rsid w:val="00351159"/>
    <w:rsid w:val="0035147B"/>
    <w:rsid w:val="003521D3"/>
    <w:rsid w:val="00352598"/>
    <w:rsid w:val="00352C26"/>
    <w:rsid w:val="00353A0E"/>
    <w:rsid w:val="00354C00"/>
    <w:rsid w:val="003551FD"/>
    <w:rsid w:val="003563C9"/>
    <w:rsid w:val="003569BB"/>
    <w:rsid w:val="00360B58"/>
    <w:rsid w:val="00360E3F"/>
    <w:rsid w:val="00361433"/>
    <w:rsid w:val="0036184C"/>
    <w:rsid w:val="003620BF"/>
    <w:rsid w:val="0036237F"/>
    <w:rsid w:val="0036299B"/>
    <w:rsid w:val="00362B6C"/>
    <w:rsid w:val="00364B27"/>
    <w:rsid w:val="00365023"/>
    <w:rsid w:val="003650AD"/>
    <w:rsid w:val="00365B87"/>
    <w:rsid w:val="00365C2E"/>
    <w:rsid w:val="00365F9F"/>
    <w:rsid w:val="0036696E"/>
    <w:rsid w:val="003670F8"/>
    <w:rsid w:val="00371837"/>
    <w:rsid w:val="00371995"/>
    <w:rsid w:val="00371FB1"/>
    <w:rsid w:val="0037469A"/>
    <w:rsid w:val="00374A93"/>
    <w:rsid w:val="00374BAE"/>
    <w:rsid w:val="00374F00"/>
    <w:rsid w:val="003751B0"/>
    <w:rsid w:val="0037526A"/>
    <w:rsid w:val="003758E6"/>
    <w:rsid w:val="0037592C"/>
    <w:rsid w:val="00376524"/>
    <w:rsid w:val="00376D9B"/>
    <w:rsid w:val="00376D9F"/>
    <w:rsid w:val="00380B0F"/>
    <w:rsid w:val="00381210"/>
    <w:rsid w:val="00381818"/>
    <w:rsid w:val="00382EDD"/>
    <w:rsid w:val="00383542"/>
    <w:rsid w:val="003852D0"/>
    <w:rsid w:val="00385D24"/>
    <w:rsid w:val="00386E03"/>
    <w:rsid w:val="00387A5D"/>
    <w:rsid w:val="00387E74"/>
    <w:rsid w:val="00390A6D"/>
    <w:rsid w:val="00390E1A"/>
    <w:rsid w:val="00390FD8"/>
    <w:rsid w:val="00391928"/>
    <w:rsid w:val="00391E32"/>
    <w:rsid w:val="00392094"/>
    <w:rsid w:val="00392289"/>
    <w:rsid w:val="00392BA3"/>
    <w:rsid w:val="00392F16"/>
    <w:rsid w:val="00395180"/>
    <w:rsid w:val="00395353"/>
    <w:rsid w:val="00396014"/>
    <w:rsid w:val="003961B8"/>
    <w:rsid w:val="003A08FD"/>
    <w:rsid w:val="003A0C8A"/>
    <w:rsid w:val="003A2089"/>
    <w:rsid w:val="003A252F"/>
    <w:rsid w:val="003A37CB"/>
    <w:rsid w:val="003A3DC0"/>
    <w:rsid w:val="003A3E81"/>
    <w:rsid w:val="003A3EBC"/>
    <w:rsid w:val="003A48CB"/>
    <w:rsid w:val="003A4EC4"/>
    <w:rsid w:val="003A5091"/>
    <w:rsid w:val="003A5FC0"/>
    <w:rsid w:val="003B015D"/>
    <w:rsid w:val="003B1F5A"/>
    <w:rsid w:val="003B2560"/>
    <w:rsid w:val="003B319E"/>
    <w:rsid w:val="003B339E"/>
    <w:rsid w:val="003B4DED"/>
    <w:rsid w:val="003B5784"/>
    <w:rsid w:val="003B5F53"/>
    <w:rsid w:val="003B636C"/>
    <w:rsid w:val="003B705C"/>
    <w:rsid w:val="003B71A7"/>
    <w:rsid w:val="003B7F5B"/>
    <w:rsid w:val="003C0D65"/>
    <w:rsid w:val="003C0FF9"/>
    <w:rsid w:val="003C1ADE"/>
    <w:rsid w:val="003C1B4D"/>
    <w:rsid w:val="003C1DD0"/>
    <w:rsid w:val="003C23DB"/>
    <w:rsid w:val="003C28E4"/>
    <w:rsid w:val="003C3247"/>
    <w:rsid w:val="003C5C4B"/>
    <w:rsid w:val="003C6253"/>
    <w:rsid w:val="003C7CC5"/>
    <w:rsid w:val="003C7F58"/>
    <w:rsid w:val="003D0358"/>
    <w:rsid w:val="003D13FB"/>
    <w:rsid w:val="003D16D6"/>
    <w:rsid w:val="003D3675"/>
    <w:rsid w:val="003D3CA8"/>
    <w:rsid w:val="003D4482"/>
    <w:rsid w:val="003D4923"/>
    <w:rsid w:val="003D4C83"/>
    <w:rsid w:val="003D66CF"/>
    <w:rsid w:val="003D6865"/>
    <w:rsid w:val="003D6A99"/>
    <w:rsid w:val="003D70A2"/>
    <w:rsid w:val="003D75BC"/>
    <w:rsid w:val="003D76F9"/>
    <w:rsid w:val="003D7812"/>
    <w:rsid w:val="003D7DE0"/>
    <w:rsid w:val="003E02D1"/>
    <w:rsid w:val="003E05BC"/>
    <w:rsid w:val="003E0820"/>
    <w:rsid w:val="003E0924"/>
    <w:rsid w:val="003E0B7F"/>
    <w:rsid w:val="003E0CCE"/>
    <w:rsid w:val="003E15E6"/>
    <w:rsid w:val="003E17C2"/>
    <w:rsid w:val="003E212C"/>
    <w:rsid w:val="003E359B"/>
    <w:rsid w:val="003E3806"/>
    <w:rsid w:val="003E47EB"/>
    <w:rsid w:val="003E4F1C"/>
    <w:rsid w:val="003E530D"/>
    <w:rsid w:val="003E53C3"/>
    <w:rsid w:val="003E7321"/>
    <w:rsid w:val="003F078F"/>
    <w:rsid w:val="003F08AE"/>
    <w:rsid w:val="003F0B9F"/>
    <w:rsid w:val="003F2966"/>
    <w:rsid w:val="003F2BFC"/>
    <w:rsid w:val="003F37A0"/>
    <w:rsid w:val="003F3DAC"/>
    <w:rsid w:val="003F4341"/>
    <w:rsid w:val="003F4E8C"/>
    <w:rsid w:val="003F4FC8"/>
    <w:rsid w:val="003F50FC"/>
    <w:rsid w:val="003F604D"/>
    <w:rsid w:val="003F60BC"/>
    <w:rsid w:val="003F644E"/>
    <w:rsid w:val="003F7BA1"/>
    <w:rsid w:val="003F7D12"/>
    <w:rsid w:val="00400376"/>
    <w:rsid w:val="0040068C"/>
    <w:rsid w:val="00401090"/>
    <w:rsid w:val="00401D4A"/>
    <w:rsid w:val="004037BF"/>
    <w:rsid w:val="00403802"/>
    <w:rsid w:val="0040381C"/>
    <w:rsid w:val="00403C19"/>
    <w:rsid w:val="0040403D"/>
    <w:rsid w:val="0040404C"/>
    <w:rsid w:val="0040413F"/>
    <w:rsid w:val="004042C7"/>
    <w:rsid w:val="00404FF8"/>
    <w:rsid w:val="0040514E"/>
    <w:rsid w:val="00405F31"/>
    <w:rsid w:val="00410C91"/>
    <w:rsid w:val="00410EAD"/>
    <w:rsid w:val="00411032"/>
    <w:rsid w:val="00411555"/>
    <w:rsid w:val="004119D5"/>
    <w:rsid w:val="00412BEC"/>
    <w:rsid w:val="00413126"/>
    <w:rsid w:val="00413300"/>
    <w:rsid w:val="004138F3"/>
    <w:rsid w:val="00416ED7"/>
    <w:rsid w:val="00416EF1"/>
    <w:rsid w:val="004206C6"/>
    <w:rsid w:val="00420EC7"/>
    <w:rsid w:val="004216AC"/>
    <w:rsid w:val="00423099"/>
    <w:rsid w:val="00423CE4"/>
    <w:rsid w:val="00424063"/>
    <w:rsid w:val="00424EDF"/>
    <w:rsid w:val="00426027"/>
    <w:rsid w:val="00426950"/>
    <w:rsid w:val="00427BD0"/>
    <w:rsid w:val="00431CA3"/>
    <w:rsid w:val="0043252F"/>
    <w:rsid w:val="004326F0"/>
    <w:rsid w:val="004328FB"/>
    <w:rsid w:val="00432D89"/>
    <w:rsid w:val="00435512"/>
    <w:rsid w:val="00435635"/>
    <w:rsid w:val="00435885"/>
    <w:rsid w:val="0043653F"/>
    <w:rsid w:val="00437565"/>
    <w:rsid w:val="00440147"/>
    <w:rsid w:val="00440434"/>
    <w:rsid w:val="0044155A"/>
    <w:rsid w:val="0044157B"/>
    <w:rsid w:val="0044164F"/>
    <w:rsid w:val="00441FAA"/>
    <w:rsid w:val="00442878"/>
    <w:rsid w:val="00442F6D"/>
    <w:rsid w:val="00443951"/>
    <w:rsid w:val="00443BC9"/>
    <w:rsid w:val="00445675"/>
    <w:rsid w:val="004457B9"/>
    <w:rsid w:val="00445AA4"/>
    <w:rsid w:val="00445BC6"/>
    <w:rsid w:val="00445BDE"/>
    <w:rsid w:val="00446089"/>
    <w:rsid w:val="004479E6"/>
    <w:rsid w:val="004500CA"/>
    <w:rsid w:val="00450668"/>
    <w:rsid w:val="00452665"/>
    <w:rsid w:val="004528C2"/>
    <w:rsid w:val="00452984"/>
    <w:rsid w:val="004529D6"/>
    <w:rsid w:val="0045443F"/>
    <w:rsid w:val="00454C84"/>
    <w:rsid w:val="00460851"/>
    <w:rsid w:val="004611C2"/>
    <w:rsid w:val="0046130F"/>
    <w:rsid w:val="00461A4E"/>
    <w:rsid w:val="00461EA4"/>
    <w:rsid w:val="0046206D"/>
    <w:rsid w:val="004620E1"/>
    <w:rsid w:val="00462D49"/>
    <w:rsid w:val="00463087"/>
    <w:rsid w:val="00463B78"/>
    <w:rsid w:val="00463CCB"/>
    <w:rsid w:val="0046477D"/>
    <w:rsid w:val="00465880"/>
    <w:rsid w:val="0046599F"/>
    <w:rsid w:val="004669A6"/>
    <w:rsid w:val="00466D0E"/>
    <w:rsid w:val="00467159"/>
    <w:rsid w:val="00467C55"/>
    <w:rsid w:val="00472C5D"/>
    <w:rsid w:val="00474D18"/>
    <w:rsid w:val="00474EAD"/>
    <w:rsid w:val="00474FA2"/>
    <w:rsid w:val="00475237"/>
    <w:rsid w:val="004753B4"/>
    <w:rsid w:val="00475F1C"/>
    <w:rsid w:val="00475F55"/>
    <w:rsid w:val="00476822"/>
    <w:rsid w:val="0047731F"/>
    <w:rsid w:val="00480D8D"/>
    <w:rsid w:val="004828C9"/>
    <w:rsid w:val="0048377F"/>
    <w:rsid w:val="004858DD"/>
    <w:rsid w:val="00486DEE"/>
    <w:rsid w:val="00491426"/>
    <w:rsid w:val="0049214E"/>
    <w:rsid w:val="004924A2"/>
    <w:rsid w:val="00492DEB"/>
    <w:rsid w:val="00492EFE"/>
    <w:rsid w:val="004954EC"/>
    <w:rsid w:val="00496874"/>
    <w:rsid w:val="00497D02"/>
    <w:rsid w:val="004A0479"/>
    <w:rsid w:val="004A0D5C"/>
    <w:rsid w:val="004A1708"/>
    <w:rsid w:val="004A2035"/>
    <w:rsid w:val="004A2975"/>
    <w:rsid w:val="004A325B"/>
    <w:rsid w:val="004A40F3"/>
    <w:rsid w:val="004A42DE"/>
    <w:rsid w:val="004A5DB0"/>
    <w:rsid w:val="004A60C8"/>
    <w:rsid w:val="004A6334"/>
    <w:rsid w:val="004A653E"/>
    <w:rsid w:val="004A6B3F"/>
    <w:rsid w:val="004A7842"/>
    <w:rsid w:val="004A78D6"/>
    <w:rsid w:val="004A7DE5"/>
    <w:rsid w:val="004B02A7"/>
    <w:rsid w:val="004B0C2F"/>
    <w:rsid w:val="004B1251"/>
    <w:rsid w:val="004B21CA"/>
    <w:rsid w:val="004B21D9"/>
    <w:rsid w:val="004B21F5"/>
    <w:rsid w:val="004B251C"/>
    <w:rsid w:val="004B3C7F"/>
    <w:rsid w:val="004B4474"/>
    <w:rsid w:val="004B4C92"/>
    <w:rsid w:val="004B659C"/>
    <w:rsid w:val="004B7ECB"/>
    <w:rsid w:val="004C0F47"/>
    <w:rsid w:val="004C19A4"/>
    <w:rsid w:val="004C2D2C"/>
    <w:rsid w:val="004C32BB"/>
    <w:rsid w:val="004C3A86"/>
    <w:rsid w:val="004C3FC5"/>
    <w:rsid w:val="004C405D"/>
    <w:rsid w:val="004C42E0"/>
    <w:rsid w:val="004C51E5"/>
    <w:rsid w:val="004C5C1E"/>
    <w:rsid w:val="004C5C82"/>
    <w:rsid w:val="004C6B27"/>
    <w:rsid w:val="004C6CF0"/>
    <w:rsid w:val="004D00EC"/>
    <w:rsid w:val="004D116B"/>
    <w:rsid w:val="004D296E"/>
    <w:rsid w:val="004D2FAB"/>
    <w:rsid w:val="004D3210"/>
    <w:rsid w:val="004D3526"/>
    <w:rsid w:val="004D441C"/>
    <w:rsid w:val="004D4679"/>
    <w:rsid w:val="004D54FC"/>
    <w:rsid w:val="004D5E11"/>
    <w:rsid w:val="004D7112"/>
    <w:rsid w:val="004D73F6"/>
    <w:rsid w:val="004E0EDD"/>
    <w:rsid w:val="004E1CC6"/>
    <w:rsid w:val="004E21FA"/>
    <w:rsid w:val="004E2D56"/>
    <w:rsid w:val="004E3615"/>
    <w:rsid w:val="004E48C9"/>
    <w:rsid w:val="004E55CB"/>
    <w:rsid w:val="004E606D"/>
    <w:rsid w:val="004E668A"/>
    <w:rsid w:val="004E74D5"/>
    <w:rsid w:val="004E7EBC"/>
    <w:rsid w:val="004F073E"/>
    <w:rsid w:val="004F075D"/>
    <w:rsid w:val="004F204D"/>
    <w:rsid w:val="004F2354"/>
    <w:rsid w:val="004F3089"/>
    <w:rsid w:val="004F3346"/>
    <w:rsid w:val="004F33F7"/>
    <w:rsid w:val="004F3420"/>
    <w:rsid w:val="004F4C68"/>
    <w:rsid w:val="004F53C1"/>
    <w:rsid w:val="004F56B3"/>
    <w:rsid w:val="004F668C"/>
    <w:rsid w:val="004F6FCC"/>
    <w:rsid w:val="004F70BE"/>
    <w:rsid w:val="004F7421"/>
    <w:rsid w:val="00500405"/>
    <w:rsid w:val="00500782"/>
    <w:rsid w:val="0050142A"/>
    <w:rsid w:val="00501573"/>
    <w:rsid w:val="00501E32"/>
    <w:rsid w:val="005026CA"/>
    <w:rsid w:val="005026FE"/>
    <w:rsid w:val="005030F2"/>
    <w:rsid w:val="00504827"/>
    <w:rsid w:val="005051C1"/>
    <w:rsid w:val="0050564E"/>
    <w:rsid w:val="00506145"/>
    <w:rsid w:val="00507BED"/>
    <w:rsid w:val="005108D9"/>
    <w:rsid w:val="00510E1A"/>
    <w:rsid w:val="005111A1"/>
    <w:rsid w:val="005116FD"/>
    <w:rsid w:val="005125B2"/>
    <w:rsid w:val="00514CB3"/>
    <w:rsid w:val="00515278"/>
    <w:rsid w:val="0051596D"/>
    <w:rsid w:val="00515C24"/>
    <w:rsid w:val="005161A6"/>
    <w:rsid w:val="00516336"/>
    <w:rsid w:val="00516D83"/>
    <w:rsid w:val="00517504"/>
    <w:rsid w:val="005179C1"/>
    <w:rsid w:val="005179DB"/>
    <w:rsid w:val="00517BFE"/>
    <w:rsid w:val="00520081"/>
    <w:rsid w:val="0052021C"/>
    <w:rsid w:val="005209D4"/>
    <w:rsid w:val="00520B0A"/>
    <w:rsid w:val="00520C7C"/>
    <w:rsid w:val="0052105F"/>
    <w:rsid w:val="00521D1E"/>
    <w:rsid w:val="00521F46"/>
    <w:rsid w:val="00521F5C"/>
    <w:rsid w:val="00523BE8"/>
    <w:rsid w:val="00523C1A"/>
    <w:rsid w:val="00525089"/>
    <w:rsid w:val="005254B4"/>
    <w:rsid w:val="00526EF6"/>
    <w:rsid w:val="005312E0"/>
    <w:rsid w:val="0053227F"/>
    <w:rsid w:val="0053252E"/>
    <w:rsid w:val="00532F52"/>
    <w:rsid w:val="0053317A"/>
    <w:rsid w:val="005331EF"/>
    <w:rsid w:val="005337A3"/>
    <w:rsid w:val="00533CE8"/>
    <w:rsid w:val="005346E9"/>
    <w:rsid w:val="00534BEA"/>
    <w:rsid w:val="005359BA"/>
    <w:rsid w:val="005362F9"/>
    <w:rsid w:val="005379F2"/>
    <w:rsid w:val="00537A70"/>
    <w:rsid w:val="005413AF"/>
    <w:rsid w:val="0054278B"/>
    <w:rsid w:val="00543039"/>
    <w:rsid w:val="00545297"/>
    <w:rsid w:val="005455B9"/>
    <w:rsid w:val="0054621B"/>
    <w:rsid w:val="00546245"/>
    <w:rsid w:val="005468BB"/>
    <w:rsid w:val="00546B14"/>
    <w:rsid w:val="0055071C"/>
    <w:rsid w:val="00550961"/>
    <w:rsid w:val="0055141F"/>
    <w:rsid w:val="005517D4"/>
    <w:rsid w:val="0055214B"/>
    <w:rsid w:val="00552251"/>
    <w:rsid w:val="00552857"/>
    <w:rsid w:val="005532F0"/>
    <w:rsid w:val="00553FFC"/>
    <w:rsid w:val="00554458"/>
    <w:rsid w:val="00554C44"/>
    <w:rsid w:val="005569D6"/>
    <w:rsid w:val="00556A99"/>
    <w:rsid w:val="005608C6"/>
    <w:rsid w:val="00561149"/>
    <w:rsid w:val="005615D8"/>
    <w:rsid w:val="005621FD"/>
    <w:rsid w:val="00562777"/>
    <w:rsid w:val="005643F3"/>
    <w:rsid w:val="00564C13"/>
    <w:rsid w:val="00564CF9"/>
    <w:rsid w:val="00565BFD"/>
    <w:rsid w:val="00566991"/>
    <w:rsid w:val="00566D68"/>
    <w:rsid w:val="00567F7B"/>
    <w:rsid w:val="00571165"/>
    <w:rsid w:val="00571234"/>
    <w:rsid w:val="00572845"/>
    <w:rsid w:val="0057285D"/>
    <w:rsid w:val="00572C34"/>
    <w:rsid w:val="005743A7"/>
    <w:rsid w:val="00574809"/>
    <w:rsid w:val="00574AF3"/>
    <w:rsid w:val="00575026"/>
    <w:rsid w:val="00575A40"/>
    <w:rsid w:val="00577DBE"/>
    <w:rsid w:val="00580503"/>
    <w:rsid w:val="00580BA3"/>
    <w:rsid w:val="00580BC9"/>
    <w:rsid w:val="00581297"/>
    <w:rsid w:val="00581B43"/>
    <w:rsid w:val="005823EC"/>
    <w:rsid w:val="00582C13"/>
    <w:rsid w:val="0058383C"/>
    <w:rsid w:val="005843B6"/>
    <w:rsid w:val="00584478"/>
    <w:rsid w:val="0058597D"/>
    <w:rsid w:val="00585A0D"/>
    <w:rsid w:val="005860E4"/>
    <w:rsid w:val="005865DA"/>
    <w:rsid w:val="00587709"/>
    <w:rsid w:val="00590010"/>
    <w:rsid w:val="005911A0"/>
    <w:rsid w:val="005917FB"/>
    <w:rsid w:val="00593174"/>
    <w:rsid w:val="00593D03"/>
    <w:rsid w:val="005941E4"/>
    <w:rsid w:val="00594681"/>
    <w:rsid w:val="00594781"/>
    <w:rsid w:val="00594795"/>
    <w:rsid w:val="00594FAA"/>
    <w:rsid w:val="005953BA"/>
    <w:rsid w:val="00596783"/>
    <w:rsid w:val="005A1A47"/>
    <w:rsid w:val="005A1D1D"/>
    <w:rsid w:val="005A3E39"/>
    <w:rsid w:val="005A5023"/>
    <w:rsid w:val="005A5D9A"/>
    <w:rsid w:val="005B107E"/>
    <w:rsid w:val="005B12C8"/>
    <w:rsid w:val="005B1D85"/>
    <w:rsid w:val="005B2A25"/>
    <w:rsid w:val="005B2AF4"/>
    <w:rsid w:val="005B38FD"/>
    <w:rsid w:val="005B4055"/>
    <w:rsid w:val="005B4881"/>
    <w:rsid w:val="005B4BB5"/>
    <w:rsid w:val="005B574F"/>
    <w:rsid w:val="005B746C"/>
    <w:rsid w:val="005B789F"/>
    <w:rsid w:val="005B7C3D"/>
    <w:rsid w:val="005B7F65"/>
    <w:rsid w:val="005C0371"/>
    <w:rsid w:val="005C0678"/>
    <w:rsid w:val="005C0B41"/>
    <w:rsid w:val="005C0E98"/>
    <w:rsid w:val="005C164B"/>
    <w:rsid w:val="005C3E10"/>
    <w:rsid w:val="005C592B"/>
    <w:rsid w:val="005C5AF0"/>
    <w:rsid w:val="005C5F8D"/>
    <w:rsid w:val="005C5FB0"/>
    <w:rsid w:val="005C685F"/>
    <w:rsid w:val="005C7094"/>
    <w:rsid w:val="005C7471"/>
    <w:rsid w:val="005C7C5B"/>
    <w:rsid w:val="005C7EDE"/>
    <w:rsid w:val="005D1D4B"/>
    <w:rsid w:val="005D2C69"/>
    <w:rsid w:val="005D2DC9"/>
    <w:rsid w:val="005D4023"/>
    <w:rsid w:val="005D57E2"/>
    <w:rsid w:val="005D6116"/>
    <w:rsid w:val="005D6225"/>
    <w:rsid w:val="005D6FD1"/>
    <w:rsid w:val="005D725F"/>
    <w:rsid w:val="005E1262"/>
    <w:rsid w:val="005E1907"/>
    <w:rsid w:val="005E216E"/>
    <w:rsid w:val="005E21FC"/>
    <w:rsid w:val="005E3A59"/>
    <w:rsid w:val="005E4380"/>
    <w:rsid w:val="005E45D9"/>
    <w:rsid w:val="005E4B92"/>
    <w:rsid w:val="005E58C6"/>
    <w:rsid w:val="005E66D6"/>
    <w:rsid w:val="005E7732"/>
    <w:rsid w:val="005F0141"/>
    <w:rsid w:val="005F08FC"/>
    <w:rsid w:val="005F0A92"/>
    <w:rsid w:val="005F0D6D"/>
    <w:rsid w:val="005F16C9"/>
    <w:rsid w:val="005F276F"/>
    <w:rsid w:val="005F2D47"/>
    <w:rsid w:val="005F3C53"/>
    <w:rsid w:val="005F3F2A"/>
    <w:rsid w:val="005F4E0C"/>
    <w:rsid w:val="005F4F4E"/>
    <w:rsid w:val="005F50BB"/>
    <w:rsid w:val="005F56C2"/>
    <w:rsid w:val="005F5B33"/>
    <w:rsid w:val="005F6393"/>
    <w:rsid w:val="005F735C"/>
    <w:rsid w:val="005F7596"/>
    <w:rsid w:val="006000A9"/>
    <w:rsid w:val="0060012D"/>
    <w:rsid w:val="00601185"/>
    <w:rsid w:val="0060178D"/>
    <w:rsid w:val="006028D3"/>
    <w:rsid w:val="00602ACB"/>
    <w:rsid w:val="00602B5D"/>
    <w:rsid w:val="00602D53"/>
    <w:rsid w:val="0060448C"/>
    <w:rsid w:val="00605287"/>
    <w:rsid w:val="00607F6F"/>
    <w:rsid w:val="00610702"/>
    <w:rsid w:val="00610A09"/>
    <w:rsid w:val="006111F7"/>
    <w:rsid w:val="0061121D"/>
    <w:rsid w:val="00611699"/>
    <w:rsid w:val="0061237A"/>
    <w:rsid w:val="00613DEB"/>
    <w:rsid w:val="00613F0D"/>
    <w:rsid w:val="00614113"/>
    <w:rsid w:val="00615D1E"/>
    <w:rsid w:val="00620790"/>
    <w:rsid w:val="00620B90"/>
    <w:rsid w:val="00620CA0"/>
    <w:rsid w:val="006235C4"/>
    <w:rsid w:val="00623F12"/>
    <w:rsid w:val="00624AB4"/>
    <w:rsid w:val="00626B31"/>
    <w:rsid w:val="00626CF6"/>
    <w:rsid w:val="00627D9C"/>
    <w:rsid w:val="00631792"/>
    <w:rsid w:val="0063269B"/>
    <w:rsid w:val="00634746"/>
    <w:rsid w:val="00634BE8"/>
    <w:rsid w:val="00636553"/>
    <w:rsid w:val="0063678C"/>
    <w:rsid w:val="0063688C"/>
    <w:rsid w:val="00636A27"/>
    <w:rsid w:val="00636D7A"/>
    <w:rsid w:val="00636DD8"/>
    <w:rsid w:val="00636FE3"/>
    <w:rsid w:val="00637186"/>
    <w:rsid w:val="00637D5A"/>
    <w:rsid w:val="00637F6C"/>
    <w:rsid w:val="00641D42"/>
    <w:rsid w:val="00641EE9"/>
    <w:rsid w:val="00642AAD"/>
    <w:rsid w:val="006435BF"/>
    <w:rsid w:val="006442E0"/>
    <w:rsid w:val="00644558"/>
    <w:rsid w:val="00644EC5"/>
    <w:rsid w:val="006463F6"/>
    <w:rsid w:val="006464DF"/>
    <w:rsid w:val="006468B3"/>
    <w:rsid w:val="00646C22"/>
    <w:rsid w:val="00646EA1"/>
    <w:rsid w:val="00647813"/>
    <w:rsid w:val="006501F6"/>
    <w:rsid w:val="00650217"/>
    <w:rsid w:val="00650E33"/>
    <w:rsid w:val="006512C1"/>
    <w:rsid w:val="006521EC"/>
    <w:rsid w:val="00652728"/>
    <w:rsid w:val="00652880"/>
    <w:rsid w:val="00653B8E"/>
    <w:rsid w:val="00654FCE"/>
    <w:rsid w:val="006555C5"/>
    <w:rsid w:val="00655C52"/>
    <w:rsid w:val="00656269"/>
    <w:rsid w:val="00656862"/>
    <w:rsid w:val="00656B6C"/>
    <w:rsid w:val="0065715D"/>
    <w:rsid w:val="00661D2A"/>
    <w:rsid w:val="006627CB"/>
    <w:rsid w:val="00662E91"/>
    <w:rsid w:val="00663815"/>
    <w:rsid w:val="00664978"/>
    <w:rsid w:val="00667750"/>
    <w:rsid w:val="00667EE6"/>
    <w:rsid w:val="00667EF4"/>
    <w:rsid w:val="006709CD"/>
    <w:rsid w:val="00670C0B"/>
    <w:rsid w:val="00671E3E"/>
    <w:rsid w:val="00672804"/>
    <w:rsid w:val="00672E87"/>
    <w:rsid w:val="00674A5E"/>
    <w:rsid w:val="00674DC6"/>
    <w:rsid w:val="006766E8"/>
    <w:rsid w:val="00676A97"/>
    <w:rsid w:val="00676EF0"/>
    <w:rsid w:val="006770F9"/>
    <w:rsid w:val="0067741F"/>
    <w:rsid w:val="00680C21"/>
    <w:rsid w:val="00680D6E"/>
    <w:rsid w:val="0068115D"/>
    <w:rsid w:val="00682F27"/>
    <w:rsid w:val="00683021"/>
    <w:rsid w:val="006840A3"/>
    <w:rsid w:val="006841EA"/>
    <w:rsid w:val="00684658"/>
    <w:rsid w:val="006847AD"/>
    <w:rsid w:val="006848D4"/>
    <w:rsid w:val="006858C7"/>
    <w:rsid w:val="006859A6"/>
    <w:rsid w:val="00686213"/>
    <w:rsid w:val="006863C1"/>
    <w:rsid w:val="00686F54"/>
    <w:rsid w:val="00686FE1"/>
    <w:rsid w:val="006871EC"/>
    <w:rsid w:val="0068725A"/>
    <w:rsid w:val="006874BF"/>
    <w:rsid w:val="006875F7"/>
    <w:rsid w:val="00687935"/>
    <w:rsid w:val="00690C10"/>
    <w:rsid w:val="00691674"/>
    <w:rsid w:val="00692982"/>
    <w:rsid w:val="00692D5C"/>
    <w:rsid w:val="0069333E"/>
    <w:rsid w:val="00693809"/>
    <w:rsid w:val="006938B9"/>
    <w:rsid w:val="0069567B"/>
    <w:rsid w:val="00696768"/>
    <w:rsid w:val="00696977"/>
    <w:rsid w:val="00696F68"/>
    <w:rsid w:val="00697739"/>
    <w:rsid w:val="00697A4B"/>
    <w:rsid w:val="006A0704"/>
    <w:rsid w:val="006A07D2"/>
    <w:rsid w:val="006A0B2A"/>
    <w:rsid w:val="006A175B"/>
    <w:rsid w:val="006A194E"/>
    <w:rsid w:val="006A1C73"/>
    <w:rsid w:val="006A2886"/>
    <w:rsid w:val="006A2A19"/>
    <w:rsid w:val="006A2F83"/>
    <w:rsid w:val="006A30E8"/>
    <w:rsid w:val="006A4D85"/>
    <w:rsid w:val="006A65F9"/>
    <w:rsid w:val="006A6665"/>
    <w:rsid w:val="006A6974"/>
    <w:rsid w:val="006A6DDA"/>
    <w:rsid w:val="006B0726"/>
    <w:rsid w:val="006B1071"/>
    <w:rsid w:val="006B11E4"/>
    <w:rsid w:val="006B18FC"/>
    <w:rsid w:val="006B2932"/>
    <w:rsid w:val="006B29A5"/>
    <w:rsid w:val="006B2C4B"/>
    <w:rsid w:val="006B2FA0"/>
    <w:rsid w:val="006B37AC"/>
    <w:rsid w:val="006B3A95"/>
    <w:rsid w:val="006B66E1"/>
    <w:rsid w:val="006B7F88"/>
    <w:rsid w:val="006C178C"/>
    <w:rsid w:val="006C17FB"/>
    <w:rsid w:val="006C1AB9"/>
    <w:rsid w:val="006C1B77"/>
    <w:rsid w:val="006C21D9"/>
    <w:rsid w:val="006C2AA3"/>
    <w:rsid w:val="006C2B8C"/>
    <w:rsid w:val="006C2FCD"/>
    <w:rsid w:val="006C3D42"/>
    <w:rsid w:val="006C3EF1"/>
    <w:rsid w:val="006C45C3"/>
    <w:rsid w:val="006C4D46"/>
    <w:rsid w:val="006C5CFF"/>
    <w:rsid w:val="006C6154"/>
    <w:rsid w:val="006D1539"/>
    <w:rsid w:val="006D2157"/>
    <w:rsid w:val="006D21FC"/>
    <w:rsid w:val="006D34C7"/>
    <w:rsid w:val="006D5125"/>
    <w:rsid w:val="006D5E6D"/>
    <w:rsid w:val="006D710C"/>
    <w:rsid w:val="006D77AD"/>
    <w:rsid w:val="006D7905"/>
    <w:rsid w:val="006D7B47"/>
    <w:rsid w:val="006E0146"/>
    <w:rsid w:val="006E0E31"/>
    <w:rsid w:val="006E1412"/>
    <w:rsid w:val="006E1A0F"/>
    <w:rsid w:val="006E1EAC"/>
    <w:rsid w:val="006E2636"/>
    <w:rsid w:val="006E3279"/>
    <w:rsid w:val="006E50D1"/>
    <w:rsid w:val="006E6E9B"/>
    <w:rsid w:val="006E70EB"/>
    <w:rsid w:val="006E72BE"/>
    <w:rsid w:val="006F23F6"/>
    <w:rsid w:val="006F246E"/>
    <w:rsid w:val="006F35E2"/>
    <w:rsid w:val="006F41B5"/>
    <w:rsid w:val="00700847"/>
    <w:rsid w:val="007009E4"/>
    <w:rsid w:val="00700CD5"/>
    <w:rsid w:val="00702143"/>
    <w:rsid w:val="007025E3"/>
    <w:rsid w:val="0070378E"/>
    <w:rsid w:val="0070393D"/>
    <w:rsid w:val="00703E03"/>
    <w:rsid w:val="00703F1D"/>
    <w:rsid w:val="00704166"/>
    <w:rsid w:val="007044A1"/>
    <w:rsid w:val="0070464A"/>
    <w:rsid w:val="00704AF4"/>
    <w:rsid w:val="00704C20"/>
    <w:rsid w:val="00704DF6"/>
    <w:rsid w:val="00705039"/>
    <w:rsid w:val="00705D31"/>
    <w:rsid w:val="00706783"/>
    <w:rsid w:val="007069D1"/>
    <w:rsid w:val="00707491"/>
    <w:rsid w:val="007100B6"/>
    <w:rsid w:val="00710DF2"/>
    <w:rsid w:val="00711350"/>
    <w:rsid w:val="007119F1"/>
    <w:rsid w:val="007126AB"/>
    <w:rsid w:val="0071388D"/>
    <w:rsid w:val="007142DE"/>
    <w:rsid w:val="00714FCD"/>
    <w:rsid w:val="00715409"/>
    <w:rsid w:val="00715E63"/>
    <w:rsid w:val="00716640"/>
    <w:rsid w:val="00716689"/>
    <w:rsid w:val="007169D3"/>
    <w:rsid w:val="00716A08"/>
    <w:rsid w:val="00716B07"/>
    <w:rsid w:val="00717C6D"/>
    <w:rsid w:val="007207C4"/>
    <w:rsid w:val="00720E8C"/>
    <w:rsid w:val="00721009"/>
    <w:rsid w:val="00721A63"/>
    <w:rsid w:val="00722CCE"/>
    <w:rsid w:val="0072303D"/>
    <w:rsid w:val="00723A3A"/>
    <w:rsid w:val="00723AD4"/>
    <w:rsid w:val="00724380"/>
    <w:rsid w:val="007257B6"/>
    <w:rsid w:val="00725AC6"/>
    <w:rsid w:val="0072619B"/>
    <w:rsid w:val="00727575"/>
    <w:rsid w:val="0073016D"/>
    <w:rsid w:val="0073041E"/>
    <w:rsid w:val="00730E8D"/>
    <w:rsid w:val="00731109"/>
    <w:rsid w:val="007312D7"/>
    <w:rsid w:val="00731344"/>
    <w:rsid w:val="00732010"/>
    <w:rsid w:val="00732C58"/>
    <w:rsid w:val="00732E37"/>
    <w:rsid w:val="007332D7"/>
    <w:rsid w:val="007336C9"/>
    <w:rsid w:val="0073515D"/>
    <w:rsid w:val="007355FC"/>
    <w:rsid w:val="00735B22"/>
    <w:rsid w:val="0073632B"/>
    <w:rsid w:val="00736CCC"/>
    <w:rsid w:val="00736F5A"/>
    <w:rsid w:val="00737864"/>
    <w:rsid w:val="00737FD2"/>
    <w:rsid w:val="0074052F"/>
    <w:rsid w:val="00740631"/>
    <w:rsid w:val="007406DE"/>
    <w:rsid w:val="007408A2"/>
    <w:rsid w:val="00740E41"/>
    <w:rsid w:val="00741142"/>
    <w:rsid w:val="00741B8E"/>
    <w:rsid w:val="00741C95"/>
    <w:rsid w:val="007447DE"/>
    <w:rsid w:val="00745611"/>
    <w:rsid w:val="007457AB"/>
    <w:rsid w:val="007457C0"/>
    <w:rsid w:val="00746EBE"/>
    <w:rsid w:val="0075015E"/>
    <w:rsid w:val="0075054C"/>
    <w:rsid w:val="00750647"/>
    <w:rsid w:val="00751A8C"/>
    <w:rsid w:val="00751DDF"/>
    <w:rsid w:val="0075218C"/>
    <w:rsid w:val="0075299D"/>
    <w:rsid w:val="00752AF7"/>
    <w:rsid w:val="00753856"/>
    <w:rsid w:val="00754310"/>
    <w:rsid w:val="00754751"/>
    <w:rsid w:val="007550A5"/>
    <w:rsid w:val="00755342"/>
    <w:rsid w:val="00755EE8"/>
    <w:rsid w:val="00756CE0"/>
    <w:rsid w:val="007571BD"/>
    <w:rsid w:val="007576B3"/>
    <w:rsid w:val="007578E3"/>
    <w:rsid w:val="007602B5"/>
    <w:rsid w:val="0076099F"/>
    <w:rsid w:val="00760A97"/>
    <w:rsid w:val="00760DD2"/>
    <w:rsid w:val="007612B5"/>
    <w:rsid w:val="00761A1E"/>
    <w:rsid w:val="007626D3"/>
    <w:rsid w:val="00762A34"/>
    <w:rsid w:val="007636B5"/>
    <w:rsid w:val="00764845"/>
    <w:rsid w:val="0076548A"/>
    <w:rsid w:val="00765DE2"/>
    <w:rsid w:val="007663F2"/>
    <w:rsid w:val="00766D1D"/>
    <w:rsid w:val="0076798F"/>
    <w:rsid w:val="00767D8F"/>
    <w:rsid w:val="007712C2"/>
    <w:rsid w:val="007718AB"/>
    <w:rsid w:val="00772F20"/>
    <w:rsid w:val="00773671"/>
    <w:rsid w:val="007743E8"/>
    <w:rsid w:val="00774E06"/>
    <w:rsid w:val="007755D8"/>
    <w:rsid w:val="00776D71"/>
    <w:rsid w:val="00776EA7"/>
    <w:rsid w:val="00777588"/>
    <w:rsid w:val="00777F2C"/>
    <w:rsid w:val="00781398"/>
    <w:rsid w:val="0078181A"/>
    <w:rsid w:val="00782678"/>
    <w:rsid w:val="00783A83"/>
    <w:rsid w:val="00783CB4"/>
    <w:rsid w:val="007842B6"/>
    <w:rsid w:val="0078464E"/>
    <w:rsid w:val="00785AA2"/>
    <w:rsid w:val="0078751C"/>
    <w:rsid w:val="007907D3"/>
    <w:rsid w:val="00793E5B"/>
    <w:rsid w:val="007961AE"/>
    <w:rsid w:val="007964DC"/>
    <w:rsid w:val="00796D03"/>
    <w:rsid w:val="007A07F0"/>
    <w:rsid w:val="007A0F98"/>
    <w:rsid w:val="007A20A2"/>
    <w:rsid w:val="007A31F3"/>
    <w:rsid w:val="007A3A15"/>
    <w:rsid w:val="007A3B99"/>
    <w:rsid w:val="007A4FD5"/>
    <w:rsid w:val="007A512A"/>
    <w:rsid w:val="007A59A2"/>
    <w:rsid w:val="007A5DD9"/>
    <w:rsid w:val="007B2086"/>
    <w:rsid w:val="007B3645"/>
    <w:rsid w:val="007B40F8"/>
    <w:rsid w:val="007B4F60"/>
    <w:rsid w:val="007B5F8B"/>
    <w:rsid w:val="007B6E52"/>
    <w:rsid w:val="007B7332"/>
    <w:rsid w:val="007B7676"/>
    <w:rsid w:val="007B788C"/>
    <w:rsid w:val="007B7A8A"/>
    <w:rsid w:val="007C0056"/>
    <w:rsid w:val="007C0299"/>
    <w:rsid w:val="007C0826"/>
    <w:rsid w:val="007C1A19"/>
    <w:rsid w:val="007C1B81"/>
    <w:rsid w:val="007C20B8"/>
    <w:rsid w:val="007C3504"/>
    <w:rsid w:val="007C3A03"/>
    <w:rsid w:val="007C4A1B"/>
    <w:rsid w:val="007C539E"/>
    <w:rsid w:val="007C6B48"/>
    <w:rsid w:val="007C752D"/>
    <w:rsid w:val="007C7544"/>
    <w:rsid w:val="007D004E"/>
    <w:rsid w:val="007D00D5"/>
    <w:rsid w:val="007D0E1C"/>
    <w:rsid w:val="007D18F5"/>
    <w:rsid w:val="007D2BA7"/>
    <w:rsid w:val="007D3019"/>
    <w:rsid w:val="007D4C2B"/>
    <w:rsid w:val="007D4E2C"/>
    <w:rsid w:val="007D50A9"/>
    <w:rsid w:val="007D6786"/>
    <w:rsid w:val="007D7E14"/>
    <w:rsid w:val="007E0C48"/>
    <w:rsid w:val="007E0D06"/>
    <w:rsid w:val="007E1091"/>
    <w:rsid w:val="007E11EE"/>
    <w:rsid w:val="007E12F8"/>
    <w:rsid w:val="007E27C7"/>
    <w:rsid w:val="007E2ECB"/>
    <w:rsid w:val="007E31C0"/>
    <w:rsid w:val="007E3677"/>
    <w:rsid w:val="007E3AFC"/>
    <w:rsid w:val="007E4A3F"/>
    <w:rsid w:val="007E7631"/>
    <w:rsid w:val="007E792C"/>
    <w:rsid w:val="007F0425"/>
    <w:rsid w:val="007F0AB5"/>
    <w:rsid w:val="007F121A"/>
    <w:rsid w:val="007F122F"/>
    <w:rsid w:val="007F1434"/>
    <w:rsid w:val="007F2CDE"/>
    <w:rsid w:val="007F3420"/>
    <w:rsid w:val="007F3FAC"/>
    <w:rsid w:val="007F450E"/>
    <w:rsid w:val="007F4D1F"/>
    <w:rsid w:val="007F4EE6"/>
    <w:rsid w:val="007F4F96"/>
    <w:rsid w:val="007F6CF0"/>
    <w:rsid w:val="007F7913"/>
    <w:rsid w:val="008007B0"/>
    <w:rsid w:val="00800B4C"/>
    <w:rsid w:val="008014E7"/>
    <w:rsid w:val="00801A1C"/>
    <w:rsid w:val="00802F0E"/>
    <w:rsid w:val="00804387"/>
    <w:rsid w:val="008055D2"/>
    <w:rsid w:val="00805947"/>
    <w:rsid w:val="00807413"/>
    <w:rsid w:val="00807A6F"/>
    <w:rsid w:val="00810507"/>
    <w:rsid w:val="00810963"/>
    <w:rsid w:val="008121DE"/>
    <w:rsid w:val="00812308"/>
    <w:rsid w:val="00812521"/>
    <w:rsid w:val="00812864"/>
    <w:rsid w:val="0081324B"/>
    <w:rsid w:val="0081345A"/>
    <w:rsid w:val="008138E1"/>
    <w:rsid w:val="008139F5"/>
    <w:rsid w:val="00814CC1"/>
    <w:rsid w:val="008160F9"/>
    <w:rsid w:val="00817638"/>
    <w:rsid w:val="0082004F"/>
    <w:rsid w:val="00821156"/>
    <w:rsid w:val="00821F56"/>
    <w:rsid w:val="0082251B"/>
    <w:rsid w:val="00822A47"/>
    <w:rsid w:val="00822C28"/>
    <w:rsid w:val="008230A8"/>
    <w:rsid w:val="0082394E"/>
    <w:rsid w:val="00823FB4"/>
    <w:rsid w:val="008245F9"/>
    <w:rsid w:val="00824B74"/>
    <w:rsid w:val="00825629"/>
    <w:rsid w:val="00826552"/>
    <w:rsid w:val="00826F65"/>
    <w:rsid w:val="00827217"/>
    <w:rsid w:val="00827BF1"/>
    <w:rsid w:val="0083047B"/>
    <w:rsid w:val="00830730"/>
    <w:rsid w:val="0083076E"/>
    <w:rsid w:val="00830D88"/>
    <w:rsid w:val="00830DAB"/>
    <w:rsid w:val="00831320"/>
    <w:rsid w:val="0083286B"/>
    <w:rsid w:val="008330D3"/>
    <w:rsid w:val="0083387F"/>
    <w:rsid w:val="00833E9B"/>
    <w:rsid w:val="008345DC"/>
    <w:rsid w:val="00834B29"/>
    <w:rsid w:val="00835D29"/>
    <w:rsid w:val="0083696D"/>
    <w:rsid w:val="008414DD"/>
    <w:rsid w:val="0084218A"/>
    <w:rsid w:val="008440F1"/>
    <w:rsid w:val="0084570A"/>
    <w:rsid w:val="0084579E"/>
    <w:rsid w:val="00845A19"/>
    <w:rsid w:val="00847172"/>
    <w:rsid w:val="00847A47"/>
    <w:rsid w:val="00847BD0"/>
    <w:rsid w:val="008501A2"/>
    <w:rsid w:val="00851FAC"/>
    <w:rsid w:val="00853686"/>
    <w:rsid w:val="00855009"/>
    <w:rsid w:val="00855897"/>
    <w:rsid w:val="00856CA3"/>
    <w:rsid w:val="00857AD5"/>
    <w:rsid w:val="0086045E"/>
    <w:rsid w:val="008626BF"/>
    <w:rsid w:val="008627E9"/>
    <w:rsid w:val="00862E25"/>
    <w:rsid w:val="00862F12"/>
    <w:rsid w:val="008638E8"/>
    <w:rsid w:val="00863F3A"/>
    <w:rsid w:val="00864ED1"/>
    <w:rsid w:val="00866B02"/>
    <w:rsid w:val="008673D0"/>
    <w:rsid w:val="008715C9"/>
    <w:rsid w:val="008717CE"/>
    <w:rsid w:val="008723A2"/>
    <w:rsid w:val="008724B7"/>
    <w:rsid w:val="0087265E"/>
    <w:rsid w:val="008726F3"/>
    <w:rsid w:val="00872A98"/>
    <w:rsid w:val="00873B9A"/>
    <w:rsid w:val="00875441"/>
    <w:rsid w:val="00876175"/>
    <w:rsid w:val="008767B0"/>
    <w:rsid w:val="008775B3"/>
    <w:rsid w:val="00880027"/>
    <w:rsid w:val="00880115"/>
    <w:rsid w:val="00882009"/>
    <w:rsid w:val="00882F17"/>
    <w:rsid w:val="00883092"/>
    <w:rsid w:val="00884736"/>
    <w:rsid w:val="00884757"/>
    <w:rsid w:val="00884FF6"/>
    <w:rsid w:val="008861C0"/>
    <w:rsid w:val="0088620F"/>
    <w:rsid w:val="00886531"/>
    <w:rsid w:val="008865E8"/>
    <w:rsid w:val="00886C5B"/>
    <w:rsid w:val="008907F3"/>
    <w:rsid w:val="0089086A"/>
    <w:rsid w:val="00890FA8"/>
    <w:rsid w:val="0089229A"/>
    <w:rsid w:val="00892838"/>
    <w:rsid w:val="0089349C"/>
    <w:rsid w:val="00893633"/>
    <w:rsid w:val="008937C8"/>
    <w:rsid w:val="00894697"/>
    <w:rsid w:val="008953EE"/>
    <w:rsid w:val="008954DC"/>
    <w:rsid w:val="00895562"/>
    <w:rsid w:val="00895647"/>
    <w:rsid w:val="008959CF"/>
    <w:rsid w:val="00895E05"/>
    <w:rsid w:val="00897631"/>
    <w:rsid w:val="00897757"/>
    <w:rsid w:val="00897C91"/>
    <w:rsid w:val="008A06AF"/>
    <w:rsid w:val="008A1DF4"/>
    <w:rsid w:val="008A22E6"/>
    <w:rsid w:val="008A2B7C"/>
    <w:rsid w:val="008A2BAB"/>
    <w:rsid w:val="008A3078"/>
    <w:rsid w:val="008A49D8"/>
    <w:rsid w:val="008A4F32"/>
    <w:rsid w:val="008A64CB"/>
    <w:rsid w:val="008A66C9"/>
    <w:rsid w:val="008A6C6A"/>
    <w:rsid w:val="008A6E45"/>
    <w:rsid w:val="008A7D6C"/>
    <w:rsid w:val="008B023B"/>
    <w:rsid w:val="008B146D"/>
    <w:rsid w:val="008B15F3"/>
    <w:rsid w:val="008B2059"/>
    <w:rsid w:val="008B40C5"/>
    <w:rsid w:val="008B45DA"/>
    <w:rsid w:val="008B4D99"/>
    <w:rsid w:val="008B5AC2"/>
    <w:rsid w:val="008B5CDD"/>
    <w:rsid w:val="008B6054"/>
    <w:rsid w:val="008B68E8"/>
    <w:rsid w:val="008B6B69"/>
    <w:rsid w:val="008B709A"/>
    <w:rsid w:val="008B7C37"/>
    <w:rsid w:val="008B7FDF"/>
    <w:rsid w:val="008C1058"/>
    <w:rsid w:val="008C1F8F"/>
    <w:rsid w:val="008C2EE5"/>
    <w:rsid w:val="008C3951"/>
    <w:rsid w:val="008C3A21"/>
    <w:rsid w:val="008C43B7"/>
    <w:rsid w:val="008C5075"/>
    <w:rsid w:val="008C5091"/>
    <w:rsid w:val="008C71D1"/>
    <w:rsid w:val="008C76F4"/>
    <w:rsid w:val="008C7779"/>
    <w:rsid w:val="008C7B6D"/>
    <w:rsid w:val="008C7C37"/>
    <w:rsid w:val="008C7E48"/>
    <w:rsid w:val="008D16B0"/>
    <w:rsid w:val="008D1E0B"/>
    <w:rsid w:val="008D1F57"/>
    <w:rsid w:val="008D282A"/>
    <w:rsid w:val="008D30B6"/>
    <w:rsid w:val="008D3D84"/>
    <w:rsid w:val="008D47ED"/>
    <w:rsid w:val="008D4BAC"/>
    <w:rsid w:val="008D5F65"/>
    <w:rsid w:val="008D6768"/>
    <w:rsid w:val="008D69B9"/>
    <w:rsid w:val="008D759E"/>
    <w:rsid w:val="008E1928"/>
    <w:rsid w:val="008E2E2E"/>
    <w:rsid w:val="008E2E78"/>
    <w:rsid w:val="008E2FA1"/>
    <w:rsid w:val="008E328C"/>
    <w:rsid w:val="008E3B49"/>
    <w:rsid w:val="008E437F"/>
    <w:rsid w:val="008E5040"/>
    <w:rsid w:val="008E5E9C"/>
    <w:rsid w:val="008E6CD0"/>
    <w:rsid w:val="008E7316"/>
    <w:rsid w:val="008E7878"/>
    <w:rsid w:val="008E7CEA"/>
    <w:rsid w:val="008F0413"/>
    <w:rsid w:val="008F1FE3"/>
    <w:rsid w:val="008F2A8B"/>
    <w:rsid w:val="008F2C37"/>
    <w:rsid w:val="008F2CA3"/>
    <w:rsid w:val="008F30A4"/>
    <w:rsid w:val="008F3D25"/>
    <w:rsid w:val="008F4D49"/>
    <w:rsid w:val="008F50DD"/>
    <w:rsid w:val="008F51A1"/>
    <w:rsid w:val="008F54D6"/>
    <w:rsid w:val="008F6218"/>
    <w:rsid w:val="008F6CE1"/>
    <w:rsid w:val="008F722C"/>
    <w:rsid w:val="008F770B"/>
    <w:rsid w:val="009005D6"/>
    <w:rsid w:val="00900F5E"/>
    <w:rsid w:val="009010FC"/>
    <w:rsid w:val="00901570"/>
    <w:rsid w:val="00901F26"/>
    <w:rsid w:val="009041D9"/>
    <w:rsid w:val="00904AA0"/>
    <w:rsid w:val="00904CF9"/>
    <w:rsid w:val="009054FF"/>
    <w:rsid w:val="009059D5"/>
    <w:rsid w:val="00906BFC"/>
    <w:rsid w:val="00906C12"/>
    <w:rsid w:val="00906F34"/>
    <w:rsid w:val="00910ADB"/>
    <w:rsid w:val="00910AE2"/>
    <w:rsid w:val="0091124B"/>
    <w:rsid w:val="00912757"/>
    <w:rsid w:val="00912AEE"/>
    <w:rsid w:val="00912E1C"/>
    <w:rsid w:val="00913AC4"/>
    <w:rsid w:val="00913D7C"/>
    <w:rsid w:val="00914AE2"/>
    <w:rsid w:val="00917483"/>
    <w:rsid w:val="00922343"/>
    <w:rsid w:val="00923C98"/>
    <w:rsid w:val="00925DF2"/>
    <w:rsid w:val="0092611B"/>
    <w:rsid w:val="00926442"/>
    <w:rsid w:val="00926E61"/>
    <w:rsid w:val="009301B7"/>
    <w:rsid w:val="00931563"/>
    <w:rsid w:val="0093170F"/>
    <w:rsid w:val="00931A30"/>
    <w:rsid w:val="009321CF"/>
    <w:rsid w:val="0093220F"/>
    <w:rsid w:val="00934C9C"/>
    <w:rsid w:val="0093576A"/>
    <w:rsid w:val="00936A5D"/>
    <w:rsid w:val="00936B4A"/>
    <w:rsid w:val="00936BB0"/>
    <w:rsid w:val="00936C2C"/>
    <w:rsid w:val="0093756E"/>
    <w:rsid w:val="00937D48"/>
    <w:rsid w:val="00940B8B"/>
    <w:rsid w:val="0094142A"/>
    <w:rsid w:val="009415C0"/>
    <w:rsid w:val="00941BE4"/>
    <w:rsid w:val="00943257"/>
    <w:rsid w:val="00944354"/>
    <w:rsid w:val="00945AB0"/>
    <w:rsid w:val="00946A5A"/>
    <w:rsid w:val="00946FB6"/>
    <w:rsid w:val="00947693"/>
    <w:rsid w:val="00947EB9"/>
    <w:rsid w:val="00950697"/>
    <w:rsid w:val="009520A5"/>
    <w:rsid w:val="009540B5"/>
    <w:rsid w:val="00955536"/>
    <w:rsid w:val="00955D43"/>
    <w:rsid w:val="00955DFA"/>
    <w:rsid w:val="0095673C"/>
    <w:rsid w:val="00956FBB"/>
    <w:rsid w:val="00957594"/>
    <w:rsid w:val="00957677"/>
    <w:rsid w:val="00957D36"/>
    <w:rsid w:val="0096011C"/>
    <w:rsid w:val="00960435"/>
    <w:rsid w:val="009628F3"/>
    <w:rsid w:val="00962D59"/>
    <w:rsid w:val="00963427"/>
    <w:rsid w:val="00963E0B"/>
    <w:rsid w:val="00964C6D"/>
    <w:rsid w:val="00965B87"/>
    <w:rsid w:val="00966045"/>
    <w:rsid w:val="009675CB"/>
    <w:rsid w:val="0097086C"/>
    <w:rsid w:val="00970C67"/>
    <w:rsid w:val="0097116F"/>
    <w:rsid w:val="009729BA"/>
    <w:rsid w:val="00972AB9"/>
    <w:rsid w:val="009740E5"/>
    <w:rsid w:val="00974473"/>
    <w:rsid w:val="00974487"/>
    <w:rsid w:val="009744C0"/>
    <w:rsid w:val="00974596"/>
    <w:rsid w:val="00974F9A"/>
    <w:rsid w:val="00976073"/>
    <w:rsid w:val="00977A7B"/>
    <w:rsid w:val="00977A89"/>
    <w:rsid w:val="009809B0"/>
    <w:rsid w:val="00980C6E"/>
    <w:rsid w:val="00980E6A"/>
    <w:rsid w:val="00984059"/>
    <w:rsid w:val="0098408B"/>
    <w:rsid w:val="009841E3"/>
    <w:rsid w:val="009842FD"/>
    <w:rsid w:val="00985778"/>
    <w:rsid w:val="00985965"/>
    <w:rsid w:val="00985EA6"/>
    <w:rsid w:val="0099276C"/>
    <w:rsid w:val="00992F1B"/>
    <w:rsid w:val="00992FCA"/>
    <w:rsid w:val="0099563C"/>
    <w:rsid w:val="00996CA6"/>
    <w:rsid w:val="00996DED"/>
    <w:rsid w:val="00997668"/>
    <w:rsid w:val="0099771E"/>
    <w:rsid w:val="00997D39"/>
    <w:rsid w:val="009A08EF"/>
    <w:rsid w:val="009A1CD2"/>
    <w:rsid w:val="009A2D01"/>
    <w:rsid w:val="009A2D72"/>
    <w:rsid w:val="009A3158"/>
    <w:rsid w:val="009A3B04"/>
    <w:rsid w:val="009A404B"/>
    <w:rsid w:val="009A41B3"/>
    <w:rsid w:val="009A55AB"/>
    <w:rsid w:val="009A5761"/>
    <w:rsid w:val="009A678F"/>
    <w:rsid w:val="009A6A6B"/>
    <w:rsid w:val="009A7377"/>
    <w:rsid w:val="009A7CF0"/>
    <w:rsid w:val="009B022C"/>
    <w:rsid w:val="009B02FC"/>
    <w:rsid w:val="009B0F55"/>
    <w:rsid w:val="009B1222"/>
    <w:rsid w:val="009B225F"/>
    <w:rsid w:val="009B2DA9"/>
    <w:rsid w:val="009B34F5"/>
    <w:rsid w:val="009B3ADA"/>
    <w:rsid w:val="009B3E74"/>
    <w:rsid w:val="009B5538"/>
    <w:rsid w:val="009B5581"/>
    <w:rsid w:val="009B55E3"/>
    <w:rsid w:val="009B5C2A"/>
    <w:rsid w:val="009B7582"/>
    <w:rsid w:val="009B7E55"/>
    <w:rsid w:val="009B7FE1"/>
    <w:rsid w:val="009C01B6"/>
    <w:rsid w:val="009C0F09"/>
    <w:rsid w:val="009C1205"/>
    <w:rsid w:val="009C1ACA"/>
    <w:rsid w:val="009C2D14"/>
    <w:rsid w:val="009C400F"/>
    <w:rsid w:val="009C4D5F"/>
    <w:rsid w:val="009C6582"/>
    <w:rsid w:val="009C7529"/>
    <w:rsid w:val="009C791F"/>
    <w:rsid w:val="009D0620"/>
    <w:rsid w:val="009D0FFB"/>
    <w:rsid w:val="009D21DB"/>
    <w:rsid w:val="009D27C9"/>
    <w:rsid w:val="009D2A47"/>
    <w:rsid w:val="009D44A7"/>
    <w:rsid w:val="009D451B"/>
    <w:rsid w:val="009D455A"/>
    <w:rsid w:val="009D5016"/>
    <w:rsid w:val="009E166F"/>
    <w:rsid w:val="009E2535"/>
    <w:rsid w:val="009E2B31"/>
    <w:rsid w:val="009E3148"/>
    <w:rsid w:val="009E3225"/>
    <w:rsid w:val="009E4D35"/>
    <w:rsid w:val="009E6385"/>
    <w:rsid w:val="009E6997"/>
    <w:rsid w:val="009F10BA"/>
    <w:rsid w:val="009F21F2"/>
    <w:rsid w:val="009F2212"/>
    <w:rsid w:val="009F2C5D"/>
    <w:rsid w:val="009F2FC4"/>
    <w:rsid w:val="009F7147"/>
    <w:rsid w:val="009F7A62"/>
    <w:rsid w:val="009F7C1A"/>
    <w:rsid w:val="00A009CE"/>
    <w:rsid w:val="00A01468"/>
    <w:rsid w:val="00A0161B"/>
    <w:rsid w:val="00A0161E"/>
    <w:rsid w:val="00A018C1"/>
    <w:rsid w:val="00A01B3D"/>
    <w:rsid w:val="00A01CD0"/>
    <w:rsid w:val="00A01F72"/>
    <w:rsid w:val="00A03690"/>
    <w:rsid w:val="00A04FED"/>
    <w:rsid w:val="00A05EA4"/>
    <w:rsid w:val="00A067B9"/>
    <w:rsid w:val="00A10111"/>
    <w:rsid w:val="00A1086E"/>
    <w:rsid w:val="00A10F20"/>
    <w:rsid w:val="00A119AF"/>
    <w:rsid w:val="00A13112"/>
    <w:rsid w:val="00A13267"/>
    <w:rsid w:val="00A14BA9"/>
    <w:rsid w:val="00A14FA2"/>
    <w:rsid w:val="00A156A8"/>
    <w:rsid w:val="00A15AAE"/>
    <w:rsid w:val="00A16F02"/>
    <w:rsid w:val="00A20202"/>
    <w:rsid w:val="00A20A64"/>
    <w:rsid w:val="00A211F0"/>
    <w:rsid w:val="00A22078"/>
    <w:rsid w:val="00A228B3"/>
    <w:rsid w:val="00A228B6"/>
    <w:rsid w:val="00A25C9E"/>
    <w:rsid w:val="00A263F8"/>
    <w:rsid w:val="00A26432"/>
    <w:rsid w:val="00A2686F"/>
    <w:rsid w:val="00A26969"/>
    <w:rsid w:val="00A3022B"/>
    <w:rsid w:val="00A30452"/>
    <w:rsid w:val="00A324CA"/>
    <w:rsid w:val="00A326E0"/>
    <w:rsid w:val="00A33751"/>
    <w:rsid w:val="00A34562"/>
    <w:rsid w:val="00A350C0"/>
    <w:rsid w:val="00A35C2A"/>
    <w:rsid w:val="00A35EA1"/>
    <w:rsid w:val="00A36282"/>
    <w:rsid w:val="00A4055A"/>
    <w:rsid w:val="00A417DE"/>
    <w:rsid w:val="00A43282"/>
    <w:rsid w:val="00A4479D"/>
    <w:rsid w:val="00A44EA4"/>
    <w:rsid w:val="00A4595B"/>
    <w:rsid w:val="00A505A7"/>
    <w:rsid w:val="00A50825"/>
    <w:rsid w:val="00A5192F"/>
    <w:rsid w:val="00A551E4"/>
    <w:rsid w:val="00A56491"/>
    <w:rsid w:val="00A578C5"/>
    <w:rsid w:val="00A6081B"/>
    <w:rsid w:val="00A61A40"/>
    <w:rsid w:val="00A62622"/>
    <w:rsid w:val="00A627BA"/>
    <w:rsid w:val="00A63CFB"/>
    <w:rsid w:val="00A641C3"/>
    <w:rsid w:val="00A6482A"/>
    <w:rsid w:val="00A649AE"/>
    <w:rsid w:val="00A65821"/>
    <w:rsid w:val="00A662D7"/>
    <w:rsid w:val="00A673C3"/>
    <w:rsid w:val="00A70040"/>
    <w:rsid w:val="00A702E3"/>
    <w:rsid w:val="00A7195D"/>
    <w:rsid w:val="00A7198C"/>
    <w:rsid w:val="00A724F6"/>
    <w:rsid w:val="00A73B08"/>
    <w:rsid w:val="00A746E0"/>
    <w:rsid w:val="00A76317"/>
    <w:rsid w:val="00A76367"/>
    <w:rsid w:val="00A767E3"/>
    <w:rsid w:val="00A770EE"/>
    <w:rsid w:val="00A779E1"/>
    <w:rsid w:val="00A806DD"/>
    <w:rsid w:val="00A811F9"/>
    <w:rsid w:val="00A81650"/>
    <w:rsid w:val="00A84962"/>
    <w:rsid w:val="00A85A45"/>
    <w:rsid w:val="00A85A86"/>
    <w:rsid w:val="00A8631E"/>
    <w:rsid w:val="00A8638E"/>
    <w:rsid w:val="00A86997"/>
    <w:rsid w:val="00A87073"/>
    <w:rsid w:val="00A87203"/>
    <w:rsid w:val="00A874D9"/>
    <w:rsid w:val="00A900A7"/>
    <w:rsid w:val="00A90322"/>
    <w:rsid w:val="00A90FAF"/>
    <w:rsid w:val="00A912FF"/>
    <w:rsid w:val="00A9199E"/>
    <w:rsid w:val="00A920AD"/>
    <w:rsid w:val="00A92CCA"/>
    <w:rsid w:val="00A9353F"/>
    <w:rsid w:val="00A9439A"/>
    <w:rsid w:val="00A95F20"/>
    <w:rsid w:val="00A968A6"/>
    <w:rsid w:val="00A96CE4"/>
    <w:rsid w:val="00A9708F"/>
    <w:rsid w:val="00A974CD"/>
    <w:rsid w:val="00AA1BB0"/>
    <w:rsid w:val="00AA1EF6"/>
    <w:rsid w:val="00AA207C"/>
    <w:rsid w:val="00AA210D"/>
    <w:rsid w:val="00AA224A"/>
    <w:rsid w:val="00AA3598"/>
    <w:rsid w:val="00AA37E8"/>
    <w:rsid w:val="00AA3914"/>
    <w:rsid w:val="00AA49E3"/>
    <w:rsid w:val="00AA582B"/>
    <w:rsid w:val="00AA58DA"/>
    <w:rsid w:val="00AA5F5A"/>
    <w:rsid w:val="00AA782E"/>
    <w:rsid w:val="00AA7904"/>
    <w:rsid w:val="00AA7EAC"/>
    <w:rsid w:val="00AA7FEF"/>
    <w:rsid w:val="00AB0AFE"/>
    <w:rsid w:val="00AB0E29"/>
    <w:rsid w:val="00AB0E65"/>
    <w:rsid w:val="00AB1483"/>
    <w:rsid w:val="00AB1C2B"/>
    <w:rsid w:val="00AB2444"/>
    <w:rsid w:val="00AB262B"/>
    <w:rsid w:val="00AB26EF"/>
    <w:rsid w:val="00AB364E"/>
    <w:rsid w:val="00AB37B6"/>
    <w:rsid w:val="00AB3A1F"/>
    <w:rsid w:val="00AB403F"/>
    <w:rsid w:val="00AB46FC"/>
    <w:rsid w:val="00AB4BE2"/>
    <w:rsid w:val="00AB4CDB"/>
    <w:rsid w:val="00AB5305"/>
    <w:rsid w:val="00AB5EAA"/>
    <w:rsid w:val="00AB7FFC"/>
    <w:rsid w:val="00AC0381"/>
    <w:rsid w:val="00AC099D"/>
    <w:rsid w:val="00AC0A4B"/>
    <w:rsid w:val="00AC148C"/>
    <w:rsid w:val="00AC1552"/>
    <w:rsid w:val="00AC185B"/>
    <w:rsid w:val="00AC24E1"/>
    <w:rsid w:val="00AC276A"/>
    <w:rsid w:val="00AC3738"/>
    <w:rsid w:val="00AC3761"/>
    <w:rsid w:val="00AC404F"/>
    <w:rsid w:val="00AC4082"/>
    <w:rsid w:val="00AC417A"/>
    <w:rsid w:val="00AC49EB"/>
    <w:rsid w:val="00AC58C4"/>
    <w:rsid w:val="00AC5B72"/>
    <w:rsid w:val="00AC5B9D"/>
    <w:rsid w:val="00AC5BA8"/>
    <w:rsid w:val="00AC61F8"/>
    <w:rsid w:val="00AC641D"/>
    <w:rsid w:val="00AC6D79"/>
    <w:rsid w:val="00AC6D7C"/>
    <w:rsid w:val="00AC7355"/>
    <w:rsid w:val="00AC742E"/>
    <w:rsid w:val="00AD07D0"/>
    <w:rsid w:val="00AD0AC9"/>
    <w:rsid w:val="00AD10A8"/>
    <w:rsid w:val="00AD128F"/>
    <w:rsid w:val="00AD1E31"/>
    <w:rsid w:val="00AD44B6"/>
    <w:rsid w:val="00AD47BC"/>
    <w:rsid w:val="00AD5CAC"/>
    <w:rsid w:val="00AD674A"/>
    <w:rsid w:val="00AD6F26"/>
    <w:rsid w:val="00AD73BB"/>
    <w:rsid w:val="00AD7954"/>
    <w:rsid w:val="00AD7B2B"/>
    <w:rsid w:val="00AE0FB2"/>
    <w:rsid w:val="00AE0FEB"/>
    <w:rsid w:val="00AE3120"/>
    <w:rsid w:val="00AE38C2"/>
    <w:rsid w:val="00AE3983"/>
    <w:rsid w:val="00AE3B83"/>
    <w:rsid w:val="00AE4225"/>
    <w:rsid w:val="00AE4471"/>
    <w:rsid w:val="00AE4B21"/>
    <w:rsid w:val="00AE4E20"/>
    <w:rsid w:val="00AE55A6"/>
    <w:rsid w:val="00AE5D0E"/>
    <w:rsid w:val="00AE6428"/>
    <w:rsid w:val="00AF0DD1"/>
    <w:rsid w:val="00AF1EF1"/>
    <w:rsid w:val="00AF2DAD"/>
    <w:rsid w:val="00AF30CE"/>
    <w:rsid w:val="00AF4D26"/>
    <w:rsid w:val="00AF50DC"/>
    <w:rsid w:val="00AF66F9"/>
    <w:rsid w:val="00AF7773"/>
    <w:rsid w:val="00AF77E5"/>
    <w:rsid w:val="00AF7D35"/>
    <w:rsid w:val="00B005C1"/>
    <w:rsid w:val="00B00976"/>
    <w:rsid w:val="00B021EC"/>
    <w:rsid w:val="00B02B29"/>
    <w:rsid w:val="00B03CB8"/>
    <w:rsid w:val="00B041CD"/>
    <w:rsid w:val="00B04A0F"/>
    <w:rsid w:val="00B04D55"/>
    <w:rsid w:val="00B05D17"/>
    <w:rsid w:val="00B061B2"/>
    <w:rsid w:val="00B06455"/>
    <w:rsid w:val="00B06945"/>
    <w:rsid w:val="00B07209"/>
    <w:rsid w:val="00B077AD"/>
    <w:rsid w:val="00B101A1"/>
    <w:rsid w:val="00B10608"/>
    <w:rsid w:val="00B10A7A"/>
    <w:rsid w:val="00B121B9"/>
    <w:rsid w:val="00B122EE"/>
    <w:rsid w:val="00B12644"/>
    <w:rsid w:val="00B12BE0"/>
    <w:rsid w:val="00B12F0F"/>
    <w:rsid w:val="00B1301D"/>
    <w:rsid w:val="00B17170"/>
    <w:rsid w:val="00B1749A"/>
    <w:rsid w:val="00B17704"/>
    <w:rsid w:val="00B1777C"/>
    <w:rsid w:val="00B179BA"/>
    <w:rsid w:val="00B17B96"/>
    <w:rsid w:val="00B21B0C"/>
    <w:rsid w:val="00B22E3B"/>
    <w:rsid w:val="00B2379F"/>
    <w:rsid w:val="00B23D39"/>
    <w:rsid w:val="00B23EEB"/>
    <w:rsid w:val="00B2442F"/>
    <w:rsid w:val="00B24D38"/>
    <w:rsid w:val="00B25A8B"/>
    <w:rsid w:val="00B25E84"/>
    <w:rsid w:val="00B25FB7"/>
    <w:rsid w:val="00B26152"/>
    <w:rsid w:val="00B26534"/>
    <w:rsid w:val="00B26ECF"/>
    <w:rsid w:val="00B2774F"/>
    <w:rsid w:val="00B2786C"/>
    <w:rsid w:val="00B27E28"/>
    <w:rsid w:val="00B27EE3"/>
    <w:rsid w:val="00B30F66"/>
    <w:rsid w:val="00B31CA8"/>
    <w:rsid w:val="00B3256F"/>
    <w:rsid w:val="00B34264"/>
    <w:rsid w:val="00B34C0A"/>
    <w:rsid w:val="00B34C84"/>
    <w:rsid w:val="00B35883"/>
    <w:rsid w:val="00B35901"/>
    <w:rsid w:val="00B35BBC"/>
    <w:rsid w:val="00B36218"/>
    <w:rsid w:val="00B363A3"/>
    <w:rsid w:val="00B3641A"/>
    <w:rsid w:val="00B37454"/>
    <w:rsid w:val="00B374FD"/>
    <w:rsid w:val="00B37559"/>
    <w:rsid w:val="00B3773F"/>
    <w:rsid w:val="00B37B49"/>
    <w:rsid w:val="00B40A07"/>
    <w:rsid w:val="00B40E06"/>
    <w:rsid w:val="00B41453"/>
    <w:rsid w:val="00B41B1C"/>
    <w:rsid w:val="00B41F1C"/>
    <w:rsid w:val="00B41F4A"/>
    <w:rsid w:val="00B433AF"/>
    <w:rsid w:val="00B438B0"/>
    <w:rsid w:val="00B45095"/>
    <w:rsid w:val="00B457AB"/>
    <w:rsid w:val="00B46923"/>
    <w:rsid w:val="00B473F3"/>
    <w:rsid w:val="00B50821"/>
    <w:rsid w:val="00B50D56"/>
    <w:rsid w:val="00B51BEA"/>
    <w:rsid w:val="00B51DD0"/>
    <w:rsid w:val="00B5283B"/>
    <w:rsid w:val="00B52D55"/>
    <w:rsid w:val="00B54A44"/>
    <w:rsid w:val="00B55EED"/>
    <w:rsid w:val="00B56B70"/>
    <w:rsid w:val="00B56E98"/>
    <w:rsid w:val="00B5727F"/>
    <w:rsid w:val="00B60296"/>
    <w:rsid w:val="00B6033D"/>
    <w:rsid w:val="00B6063D"/>
    <w:rsid w:val="00B6158C"/>
    <w:rsid w:val="00B6257D"/>
    <w:rsid w:val="00B626BB"/>
    <w:rsid w:val="00B627BC"/>
    <w:rsid w:val="00B62B5A"/>
    <w:rsid w:val="00B63971"/>
    <w:rsid w:val="00B639C3"/>
    <w:rsid w:val="00B647A1"/>
    <w:rsid w:val="00B64882"/>
    <w:rsid w:val="00B64D90"/>
    <w:rsid w:val="00B64EFC"/>
    <w:rsid w:val="00B65BD7"/>
    <w:rsid w:val="00B66169"/>
    <w:rsid w:val="00B71FBB"/>
    <w:rsid w:val="00B7272D"/>
    <w:rsid w:val="00B7284A"/>
    <w:rsid w:val="00B73449"/>
    <w:rsid w:val="00B73E67"/>
    <w:rsid w:val="00B749D9"/>
    <w:rsid w:val="00B7579D"/>
    <w:rsid w:val="00B75CA4"/>
    <w:rsid w:val="00B77BF5"/>
    <w:rsid w:val="00B80288"/>
    <w:rsid w:val="00B8082A"/>
    <w:rsid w:val="00B81A58"/>
    <w:rsid w:val="00B81F5C"/>
    <w:rsid w:val="00B82CCB"/>
    <w:rsid w:val="00B82E18"/>
    <w:rsid w:val="00B834DF"/>
    <w:rsid w:val="00B83D54"/>
    <w:rsid w:val="00B84E40"/>
    <w:rsid w:val="00B850D2"/>
    <w:rsid w:val="00B85160"/>
    <w:rsid w:val="00B86876"/>
    <w:rsid w:val="00B86E2A"/>
    <w:rsid w:val="00B86EE3"/>
    <w:rsid w:val="00B871DB"/>
    <w:rsid w:val="00B8778D"/>
    <w:rsid w:val="00B87A48"/>
    <w:rsid w:val="00B9032D"/>
    <w:rsid w:val="00B91BA7"/>
    <w:rsid w:val="00B9272A"/>
    <w:rsid w:val="00B9312B"/>
    <w:rsid w:val="00B94921"/>
    <w:rsid w:val="00B951C8"/>
    <w:rsid w:val="00B95399"/>
    <w:rsid w:val="00B96A83"/>
    <w:rsid w:val="00B97588"/>
    <w:rsid w:val="00B97DC6"/>
    <w:rsid w:val="00BA0BA6"/>
    <w:rsid w:val="00BA19BE"/>
    <w:rsid w:val="00BA2169"/>
    <w:rsid w:val="00BA448B"/>
    <w:rsid w:val="00BA5971"/>
    <w:rsid w:val="00BA602B"/>
    <w:rsid w:val="00BA624D"/>
    <w:rsid w:val="00BA69AB"/>
    <w:rsid w:val="00BB10A6"/>
    <w:rsid w:val="00BB1FEA"/>
    <w:rsid w:val="00BB2DC8"/>
    <w:rsid w:val="00BB3A38"/>
    <w:rsid w:val="00BB4017"/>
    <w:rsid w:val="00BB4390"/>
    <w:rsid w:val="00BB448E"/>
    <w:rsid w:val="00BB536A"/>
    <w:rsid w:val="00BB5AB3"/>
    <w:rsid w:val="00BB6D13"/>
    <w:rsid w:val="00BB6E4A"/>
    <w:rsid w:val="00BB78BB"/>
    <w:rsid w:val="00BB7FA9"/>
    <w:rsid w:val="00BC0960"/>
    <w:rsid w:val="00BC0F95"/>
    <w:rsid w:val="00BC33B3"/>
    <w:rsid w:val="00BC3BF0"/>
    <w:rsid w:val="00BC658F"/>
    <w:rsid w:val="00BD2A83"/>
    <w:rsid w:val="00BD3036"/>
    <w:rsid w:val="00BD3406"/>
    <w:rsid w:val="00BD3C01"/>
    <w:rsid w:val="00BD5526"/>
    <w:rsid w:val="00BD6687"/>
    <w:rsid w:val="00BD6E76"/>
    <w:rsid w:val="00BD7282"/>
    <w:rsid w:val="00BE034C"/>
    <w:rsid w:val="00BE0ACD"/>
    <w:rsid w:val="00BE1138"/>
    <w:rsid w:val="00BE1324"/>
    <w:rsid w:val="00BE14E4"/>
    <w:rsid w:val="00BE222B"/>
    <w:rsid w:val="00BE35C6"/>
    <w:rsid w:val="00BE4461"/>
    <w:rsid w:val="00BE4538"/>
    <w:rsid w:val="00BE4889"/>
    <w:rsid w:val="00BE49A2"/>
    <w:rsid w:val="00BE6224"/>
    <w:rsid w:val="00BE661F"/>
    <w:rsid w:val="00BE6813"/>
    <w:rsid w:val="00BE6EFB"/>
    <w:rsid w:val="00BE7884"/>
    <w:rsid w:val="00BE7892"/>
    <w:rsid w:val="00BF12E3"/>
    <w:rsid w:val="00BF170F"/>
    <w:rsid w:val="00BF1849"/>
    <w:rsid w:val="00BF1B22"/>
    <w:rsid w:val="00BF1E79"/>
    <w:rsid w:val="00BF219E"/>
    <w:rsid w:val="00BF2458"/>
    <w:rsid w:val="00BF24BA"/>
    <w:rsid w:val="00BF2B0A"/>
    <w:rsid w:val="00BF2DE2"/>
    <w:rsid w:val="00BF362B"/>
    <w:rsid w:val="00BF3669"/>
    <w:rsid w:val="00BF3B26"/>
    <w:rsid w:val="00BF59E0"/>
    <w:rsid w:val="00BF5DAF"/>
    <w:rsid w:val="00BF6194"/>
    <w:rsid w:val="00BF6546"/>
    <w:rsid w:val="00BF6817"/>
    <w:rsid w:val="00BF6BC1"/>
    <w:rsid w:val="00C0047F"/>
    <w:rsid w:val="00C00667"/>
    <w:rsid w:val="00C011D7"/>
    <w:rsid w:val="00C013A5"/>
    <w:rsid w:val="00C016B4"/>
    <w:rsid w:val="00C03380"/>
    <w:rsid w:val="00C03C2C"/>
    <w:rsid w:val="00C04690"/>
    <w:rsid w:val="00C04DF0"/>
    <w:rsid w:val="00C05503"/>
    <w:rsid w:val="00C068D3"/>
    <w:rsid w:val="00C06D0C"/>
    <w:rsid w:val="00C07970"/>
    <w:rsid w:val="00C10172"/>
    <w:rsid w:val="00C104A4"/>
    <w:rsid w:val="00C10D9C"/>
    <w:rsid w:val="00C12B2C"/>
    <w:rsid w:val="00C1439F"/>
    <w:rsid w:val="00C14D48"/>
    <w:rsid w:val="00C1548A"/>
    <w:rsid w:val="00C163BC"/>
    <w:rsid w:val="00C17B7A"/>
    <w:rsid w:val="00C2119B"/>
    <w:rsid w:val="00C21288"/>
    <w:rsid w:val="00C2192B"/>
    <w:rsid w:val="00C23F57"/>
    <w:rsid w:val="00C2485A"/>
    <w:rsid w:val="00C24DBD"/>
    <w:rsid w:val="00C24F81"/>
    <w:rsid w:val="00C25699"/>
    <w:rsid w:val="00C25990"/>
    <w:rsid w:val="00C268F2"/>
    <w:rsid w:val="00C2718C"/>
    <w:rsid w:val="00C2765D"/>
    <w:rsid w:val="00C32165"/>
    <w:rsid w:val="00C322B0"/>
    <w:rsid w:val="00C32C5A"/>
    <w:rsid w:val="00C32F0B"/>
    <w:rsid w:val="00C32F42"/>
    <w:rsid w:val="00C342D9"/>
    <w:rsid w:val="00C354C6"/>
    <w:rsid w:val="00C35ACA"/>
    <w:rsid w:val="00C3660E"/>
    <w:rsid w:val="00C3673E"/>
    <w:rsid w:val="00C40F86"/>
    <w:rsid w:val="00C41917"/>
    <w:rsid w:val="00C4271A"/>
    <w:rsid w:val="00C4329B"/>
    <w:rsid w:val="00C43855"/>
    <w:rsid w:val="00C43A65"/>
    <w:rsid w:val="00C43CDC"/>
    <w:rsid w:val="00C4541B"/>
    <w:rsid w:val="00C46939"/>
    <w:rsid w:val="00C47467"/>
    <w:rsid w:val="00C4777B"/>
    <w:rsid w:val="00C477BE"/>
    <w:rsid w:val="00C47E2F"/>
    <w:rsid w:val="00C50FCF"/>
    <w:rsid w:val="00C51487"/>
    <w:rsid w:val="00C51984"/>
    <w:rsid w:val="00C52AF8"/>
    <w:rsid w:val="00C53C10"/>
    <w:rsid w:val="00C54E08"/>
    <w:rsid w:val="00C5526F"/>
    <w:rsid w:val="00C55432"/>
    <w:rsid w:val="00C55A8C"/>
    <w:rsid w:val="00C56063"/>
    <w:rsid w:val="00C560F0"/>
    <w:rsid w:val="00C5614D"/>
    <w:rsid w:val="00C563F1"/>
    <w:rsid w:val="00C62487"/>
    <w:rsid w:val="00C6257E"/>
    <w:rsid w:val="00C6397C"/>
    <w:rsid w:val="00C63D6D"/>
    <w:rsid w:val="00C64259"/>
    <w:rsid w:val="00C6591F"/>
    <w:rsid w:val="00C65D84"/>
    <w:rsid w:val="00C670F2"/>
    <w:rsid w:val="00C677A1"/>
    <w:rsid w:val="00C67954"/>
    <w:rsid w:val="00C67EC6"/>
    <w:rsid w:val="00C70E03"/>
    <w:rsid w:val="00C71645"/>
    <w:rsid w:val="00C717A8"/>
    <w:rsid w:val="00C724A6"/>
    <w:rsid w:val="00C72FA9"/>
    <w:rsid w:val="00C7401C"/>
    <w:rsid w:val="00C75A9E"/>
    <w:rsid w:val="00C76D64"/>
    <w:rsid w:val="00C774E9"/>
    <w:rsid w:val="00C77C82"/>
    <w:rsid w:val="00C80009"/>
    <w:rsid w:val="00C800FC"/>
    <w:rsid w:val="00C815BC"/>
    <w:rsid w:val="00C826A0"/>
    <w:rsid w:val="00C834B3"/>
    <w:rsid w:val="00C83BB7"/>
    <w:rsid w:val="00C85368"/>
    <w:rsid w:val="00C85873"/>
    <w:rsid w:val="00C85D39"/>
    <w:rsid w:val="00C85FEC"/>
    <w:rsid w:val="00C86454"/>
    <w:rsid w:val="00C86750"/>
    <w:rsid w:val="00C867B0"/>
    <w:rsid w:val="00C87102"/>
    <w:rsid w:val="00C8740E"/>
    <w:rsid w:val="00C90B65"/>
    <w:rsid w:val="00C90ED8"/>
    <w:rsid w:val="00C91806"/>
    <w:rsid w:val="00C91C53"/>
    <w:rsid w:val="00C9205A"/>
    <w:rsid w:val="00C92373"/>
    <w:rsid w:val="00C92677"/>
    <w:rsid w:val="00C93240"/>
    <w:rsid w:val="00C9331C"/>
    <w:rsid w:val="00C93795"/>
    <w:rsid w:val="00C93B3A"/>
    <w:rsid w:val="00C94133"/>
    <w:rsid w:val="00C94807"/>
    <w:rsid w:val="00C9579A"/>
    <w:rsid w:val="00C95A1A"/>
    <w:rsid w:val="00C96237"/>
    <w:rsid w:val="00C963E1"/>
    <w:rsid w:val="00C96BFF"/>
    <w:rsid w:val="00C97507"/>
    <w:rsid w:val="00CA051D"/>
    <w:rsid w:val="00CA1E3E"/>
    <w:rsid w:val="00CA4236"/>
    <w:rsid w:val="00CA4AA0"/>
    <w:rsid w:val="00CA4CB9"/>
    <w:rsid w:val="00CA4F8A"/>
    <w:rsid w:val="00CA5A89"/>
    <w:rsid w:val="00CA5F21"/>
    <w:rsid w:val="00CA5F62"/>
    <w:rsid w:val="00CA6CF9"/>
    <w:rsid w:val="00CA7DC3"/>
    <w:rsid w:val="00CB04E0"/>
    <w:rsid w:val="00CB14A5"/>
    <w:rsid w:val="00CB190F"/>
    <w:rsid w:val="00CB27DF"/>
    <w:rsid w:val="00CB2AE5"/>
    <w:rsid w:val="00CB3039"/>
    <w:rsid w:val="00CB36A4"/>
    <w:rsid w:val="00CB4F1D"/>
    <w:rsid w:val="00CB536D"/>
    <w:rsid w:val="00CB5C12"/>
    <w:rsid w:val="00CB5F3F"/>
    <w:rsid w:val="00CB79E5"/>
    <w:rsid w:val="00CC0361"/>
    <w:rsid w:val="00CC08E9"/>
    <w:rsid w:val="00CC0FB1"/>
    <w:rsid w:val="00CC15A8"/>
    <w:rsid w:val="00CC16DB"/>
    <w:rsid w:val="00CC203F"/>
    <w:rsid w:val="00CC2A53"/>
    <w:rsid w:val="00CC3204"/>
    <w:rsid w:val="00CC350F"/>
    <w:rsid w:val="00CC3D8E"/>
    <w:rsid w:val="00CC41CA"/>
    <w:rsid w:val="00CC46EC"/>
    <w:rsid w:val="00CC4904"/>
    <w:rsid w:val="00CC4A95"/>
    <w:rsid w:val="00CC4E63"/>
    <w:rsid w:val="00CC528D"/>
    <w:rsid w:val="00CC5673"/>
    <w:rsid w:val="00CC5972"/>
    <w:rsid w:val="00CC5BA7"/>
    <w:rsid w:val="00CC5C32"/>
    <w:rsid w:val="00CC5DAD"/>
    <w:rsid w:val="00CC616A"/>
    <w:rsid w:val="00CC6D1D"/>
    <w:rsid w:val="00CC6E6B"/>
    <w:rsid w:val="00CC76DD"/>
    <w:rsid w:val="00CD002C"/>
    <w:rsid w:val="00CD071F"/>
    <w:rsid w:val="00CD2051"/>
    <w:rsid w:val="00CD207A"/>
    <w:rsid w:val="00CD3414"/>
    <w:rsid w:val="00CD3699"/>
    <w:rsid w:val="00CD4A4E"/>
    <w:rsid w:val="00CD5447"/>
    <w:rsid w:val="00CD5524"/>
    <w:rsid w:val="00CD6ECD"/>
    <w:rsid w:val="00CD7566"/>
    <w:rsid w:val="00CD7673"/>
    <w:rsid w:val="00CD7EC7"/>
    <w:rsid w:val="00CD7F62"/>
    <w:rsid w:val="00CE1B2A"/>
    <w:rsid w:val="00CE1BDD"/>
    <w:rsid w:val="00CE2445"/>
    <w:rsid w:val="00CE2975"/>
    <w:rsid w:val="00CE2A2A"/>
    <w:rsid w:val="00CE2DB6"/>
    <w:rsid w:val="00CE34BC"/>
    <w:rsid w:val="00CE4837"/>
    <w:rsid w:val="00CE63AD"/>
    <w:rsid w:val="00CE75AF"/>
    <w:rsid w:val="00CF0DAF"/>
    <w:rsid w:val="00CF1A06"/>
    <w:rsid w:val="00CF1BC8"/>
    <w:rsid w:val="00CF2894"/>
    <w:rsid w:val="00CF31C2"/>
    <w:rsid w:val="00CF4069"/>
    <w:rsid w:val="00CF43FD"/>
    <w:rsid w:val="00CF4F4D"/>
    <w:rsid w:val="00CF582D"/>
    <w:rsid w:val="00CF6357"/>
    <w:rsid w:val="00CF7B0E"/>
    <w:rsid w:val="00D011E1"/>
    <w:rsid w:val="00D019D4"/>
    <w:rsid w:val="00D01D51"/>
    <w:rsid w:val="00D01F4B"/>
    <w:rsid w:val="00D023AB"/>
    <w:rsid w:val="00D02720"/>
    <w:rsid w:val="00D047EC"/>
    <w:rsid w:val="00D05AC2"/>
    <w:rsid w:val="00D05BC3"/>
    <w:rsid w:val="00D072A9"/>
    <w:rsid w:val="00D072D7"/>
    <w:rsid w:val="00D0738C"/>
    <w:rsid w:val="00D11220"/>
    <w:rsid w:val="00D115A4"/>
    <w:rsid w:val="00D11A42"/>
    <w:rsid w:val="00D12286"/>
    <w:rsid w:val="00D131CF"/>
    <w:rsid w:val="00D13FBF"/>
    <w:rsid w:val="00D15224"/>
    <w:rsid w:val="00D15538"/>
    <w:rsid w:val="00D15B96"/>
    <w:rsid w:val="00D15CED"/>
    <w:rsid w:val="00D15D1E"/>
    <w:rsid w:val="00D16F31"/>
    <w:rsid w:val="00D17C63"/>
    <w:rsid w:val="00D17EA6"/>
    <w:rsid w:val="00D20265"/>
    <w:rsid w:val="00D212D7"/>
    <w:rsid w:val="00D213D5"/>
    <w:rsid w:val="00D217E3"/>
    <w:rsid w:val="00D225AD"/>
    <w:rsid w:val="00D22F90"/>
    <w:rsid w:val="00D22FA1"/>
    <w:rsid w:val="00D23261"/>
    <w:rsid w:val="00D23503"/>
    <w:rsid w:val="00D235C4"/>
    <w:rsid w:val="00D24871"/>
    <w:rsid w:val="00D26BDB"/>
    <w:rsid w:val="00D27171"/>
    <w:rsid w:val="00D27CC8"/>
    <w:rsid w:val="00D27DB6"/>
    <w:rsid w:val="00D30240"/>
    <w:rsid w:val="00D319E4"/>
    <w:rsid w:val="00D33BB7"/>
    <w:rsid w:val="00D33C54"/>
    <w:rsid w:val="00D33D59"/>
    <w:rsid w:val="00D340FE"/>
    <w:rsid w:val="00D35536"/>
    <w:rsid w:val="00D37C65"/>
    <w:rsid w:val="00D40963"/>
    <w:rsid w:val="00D41058"/>
    <w:rsid w:val="00D415E7"/>
    <w:rsid w:val="00D41B64"/>
    <w:rsid w:val="00D440C1"/>
    <w:rsid w:val="00D44256"/>
    <w:rsid w:val="00D4477E"/>
    <w:rsid w:val="00D478AC"/>
    <w:rsid w:val="00D516D5"/>
    <w:rsid w:val="00D537BF"/>
    <w:rsid w:val="00D547F5"/>
    <w:rsid w:val="00D5569B"/>
    <w:rsid w:val="00D55B47"/>
    <w:rsid w:val="00D5629D"/>
    <w:rsid w:val="00D5634C"/>
    <w:rsid w:val="00D5663F"/>
    <w:rsid w:val="00D566CE"/>
    <w:rsid w:val="00D57ACB"/>
    <w:rsid w:val="00D601BE"/>
    <w:rsid w:val="00D603E3"/>
    <w:rsid w:val="00D60D4E"/>
    <w:rsid w:val="00D61072"/>
    <w:rsid w:val="00D62267"/>
    <w:rsid w:val="00D62A4D"/>
    <w:rsid w:val="00D6468A"/>
    <w:rsid w:val="00D65CB3"/>
    <w:rsid w:val="00D70696"/>
    <w:rsid w:val="00D7098B"/>
    <w:rsid w:val="00D70A9F"/>
    <w:rsid w:val="00D70C05"/>
    <w:rsid w:val="00D70DF7"/>
    <w:rsid w:val="00D70E95"/>
    <w:rsid w:val="00D71361"/>
    <w:rsid w:val="00D725C9"/>
    <w:rsid w:val="00D72858"/>
    <w:rsid w:val="00D7311B"/>
    <w:rsid w:val="00D750FA"/>
    <w:rsid w:val="00D757AA"/>
    <w:rsid w:val="00D75C3D"/>
    <w:rsid w:val="00D763FF"/>
    <w:rsid w:val="00D771A4"/>
    <w:rsid w:val="00D77462"/>
    <w:rsid w:val="00D80869"/>
    <w:rsid w:val="00D80D96"/>
    <w:rsid w:val="00D81B99"/>
    <w:rsid w:val="00D81C76"/>
    <w:rsid w:val="00D81F4E"/>
    <w:rsid w:val="00D81FE1"/>
    <w:rsid w:val="00D82757"/>
    <w:rsid w:val="00D834A9"/>
    <w:rsid w:val="00D848E8"/>
    <w:rsid w:val="00D85830"/>
    <w:rsid w:val="00D8598F"/>
    <w:rsid w:val="00D85FE5"/>
    <w:rsid w:val="00D86037"/>
    <w:rsid w:val="00D87645"/>
    <w:rsid w:val="00D87701"/>
    <w:rsid w:val="00D87F0A"/>
    <w:rsid w:val="00D90122"/>
    <w:rsid w:val="00D90A34"/>
    <w:rsid w:val="00D92111"/>
    <w:rsid w:val="00D92FCE"/>
    <w:rsid w:val="00D93138"/>
    <w:rsid w:val="00D95227"/>
    <w:rsid w:val="00D954B5"/>
    <w:rsid w:val="00D9724B"/>
    <w:rsid w:val="00DA0514"/>
    <w:rsid w:val="00DA0F34"/>
    <w:rsid w:val="00DA1006"/>
    <w:rsid w:val="00DA11DB"/>
    <w:rsid w:val="00DA1E8C"/>
    <w:rsid w:val="00DA28FA"/>
    <w:rsid w:val="00DA361C"/>
    <w:rsid w:val="00DA3A48"/>
    <w:rsid w:val="00DA40EB"/>
    <w:rsid w:val="00DA4902"/>
    <w:rsid w:val="00DA4C7E"/>
    <w:rsid w:val="00DA5729"/>
    <w:rsid w:val="00DA57F1"/>
    <w:rsid w:val="00DA5B93"/>
    <w:rsid w:val="00DA60D8"/>
    <w:rsid w:val="00DA6432"/>
    <w:rsid w:val="00DA7112"/>
    <w:rsid w:val="00DA75F2"/>
    <w:rsid w:val="00DA7EAE"/>
    <w:rsid w:val="00DB06C2"/>
    <w:rsid w:val="00DB1A2F"/>
    <w:rsid w:val="00DB3BBF"/>
    <w:rsid w:val="00DB4F0D"/>
    <w:rsid w:val="00DB5691"/>
    <w:rsid w:val="00DB56EA"/>
    <w:rsid w:val="00DB5EDD"/>
    <w:rsid w:val="00DB7016"/>
    <w:rsid w:val="00DB7A35"/>
    <w:rsid w:val="00DB7AC8"/>
    <w:rsid w:val="00DC015F"/>
    <w:rsid w:val="00DC03BE"/>
    <w:rsid w:val="00DC0513"/>
    <w:rsid w:val="00DC09B5"/>
    <w:rsid w:val="00DC0DA1"/>
    <w:rsid w:val="00DC1883"/>
    <w:rsid w:val="00DC586B"/>
    <w:rsid w:val="00DC591C"/>
    <w:rsid w:val="00DC59DD"/>
    <w:rsid w:val="00DC62C8"/>
    <w:rsid w:val="00DC6708"/>
    <w:rsid w:val="00DC748B"/>
    <w:rsid w:val="00DC7FF7"/>
    <w:rsid w:val="00DD0B42"/>
    <w:rsid w:val="00DD118C"/>
    <w:rsid w:val="00DD149F"/>
    <w:rsid w:val="00DD171F"/>
    <w:rsid w:val="00DD2B48"/>
    <w:rsid w:val="00DD481F"/>
    <w:rsid w:val="00DD5C13"/>
    <w:rsid w:val="00DD5E6F"/>
    <w:rsid w:val="00DD6101"/>
    <w:rsid w:val="00DD6601"/>
    <w:rsid w:val="00DD72CC"/>
    <w:rsid w:val="00DD77FF"/>
    <w:rsid w:val="00DE066F"/>
    <w:rsid w:val="00DE13DE"/>
    <w:rsid w:val="00DE17B2"/>
    <w:rsid w:val="00DE1A6D"/>
    <w:rsid w:val="00DE1EF9"/>
    <w:rsid w:val="00DE21E0"/>
    <w:rsid w:val="00DE3C58"/>
    <w:rsid w:val="00DE4533"/>
    <w:rsid w:val="00DE47C6"/>
    <w:rsid w:val="00DE494A"/>
    <w:rsid w:val="00DE5CEC"/>
    <w:rsid w:val="00DF226A"/>
    <w:rsid w:val="00DF22F0"/>
    <w:rsid w:val="00DF2CE7"/>
    <w:rsid w:val="00DF3781"/>
    <w:rsid w:val="00DF47F5"/>
    <w:rsid w:val="00DF4D64"/>
    <w:rsid w:val="00DF56ED"/>
    <w:rsid w:val="00DF5864"/>
    <w:rsid w:val="00DF619C"/>
    <w:rsid w:val="00DF6251"/>
    <w:rsid w:val="00DF7F83"/>
    <w:rsid w:val="00E0069D"/>
    <w:rsid w:val="00E0086C"/>
    <w:rsid w:val="00E00DD0"/>
    <w:rsid w:val="00E021A5"/>
    <w:rsid w:val="00E02FA7"/>
    <w:rsid w:val="00E04FDF"/>
    <w:rsid w:val="00E05053"/>
    <w:rsid w:val="00E05ABE"/>
    <w:rsid w:val="00E062C1"/>
    <w:rsid w:val="00E06EDB"/>
    <w:rsid w:val="00E0744F"/>
    <w:rsid w:val="00E1077B"/>
    <w:rsid w:val="00E115A6"/>
    <w:rsid w:val="00E12C6A"/>
    <w:rsid w:val="00E130B7"/>
    <w:rsid w:val="00E14227"/>
    <w:rsid w:val="00E1446A"/>
    <w:rsid w:val="00E15EAA"/>
    <w:rsid w:val="00E16881"/>
    <w:rsid w:val="00E17F53"/>
    <w:rsid w:val="00E2145C"/>
    <w:rsid w:val="00E216FF"/>
    <w:rsid w:val="00E2171B"/>
    <w:rsid w:val="00E218F4"/>
    <w:rsid w:val="00E2236C"/>
    <w:rsid w:val="00E22C10"/>
    <w:rsid w:val="00E22C17"/>
    <w:rsid w:val="00E23007"/>
    <w:rsid w:val="00E2301B"/>
    <w:rsid w:val="00E25214"/>
    <w:rsid w:val="00E2629A"/>
    <w:rsid w:val="00E26C83"/>
    <w:rsid w:val="00E2708B"/>
    <w:rsid w:val="00E2716B"/>
    <w:rsid w:val="00E27960"/>
    <w:rsid w:val="00E30802"/>
    <w:rsid w:val="00E30E55"/>
    <w:rsid w:val="00E31821"/>
    <w:rsid w:val="00E31C6A"/>
    <w:rsid w:val="00E3223D"/>
    <w:rsid w:val="00E329F8"/>
    <w:rsid w:val="00E33A1E"/>
    <w:rsid w:val="00E352A6"/>
    <w:rsid w:val="00E35AA2"/>
    <w:rsid w:val="00E35F6B"/>
    <w:rsid w:val="00E3663A"/>
    <w:rsid w:val="00E37215"/>
    <w:rsid w:val="00E40352"/>
    <w:rsid w:val="00E41623"/>
    <w:rsid w:val="00E4272B"/>
    <w:rsid w:val="00E42FD3"/>
    <w:rsid w:val="00E43ECD"/>
    <w:rsid w:val="00E445F6"/>
    <w:rsid w:val="00E45249"/>
    <w:rsid w:val="00E4623B"/>
    <w:rsid w:val="00E4695A"/>
    <w:rsid w:val="00E46F87"/>
    <w:rsid w:val="00E50723"/>
    <w:rsid w:val="00E51E7C"/>
    <w:rsid w:val="00E52456"/>
    <w:rsid w:val="00E52A94"/>
    <w:rsid w:val="00E52B67"/>
    <w:rsid w:val="00E54172"/>
    <w:rsid w:val="00E54C41"/>
    <w:rsid w:val="00E55356"/>
    <w:rsid w:val="00E5547C"/>
    <w:rsid w:val="00E55BAD"/>
    <w:rsid w:val="00E571D6"/>
    <w:rsid w:val="00E57281"/>
    <w:rsid w:val="00E574E6"/>
    <w:rsid w:val="00E57C10"/>
    <w:rsid w:val="00E617FF"/>
    <w:rsid w:val="00E6217A"/>
    <w:rsid w:val="00E6358C"/>
    <w:rsid w:val="00E640F8"/>
    <w:rsid w:val="00E649D8"/>
    <w:rsid w:val="00E664A3"/>
    <w:rsid w:val="00E66C61"/>
    <w:rsid w:val="00E67F66"/>
    <w:rsid w:val="00E70824"/>
    <w:rsid w:val="00E70B08"/>
    <w:rsid w:val="00E70F9A"/>
    <w:rsid w:val="00E71263"/>
    <w:rsid w:val="00E71B92"/>
    <w:rsid w:val="00E73736"/>
    <w:rsid w:val="00E74083"/>
    <w:rsid w:val="00E74EA7"/>
    <w:rsid w:val="00E7513A"/>
    <w:rsid w:val="00E751FA"/>
    <w:rsid w:val="00E75821"/>
    <w:rsid w:val="00E761C5"/>
    <w:rsid w:val="00E764FF"/>
    <w:rsid w:val="00E80FEF"/>
    <w:rsid w:val="00E8217B"/>
    <w:rsid w:val="00E8227B"/>
    <w:rsid w:val="00E82897"/>
    <w:rsid w:val="00E82E64"/>
    <w:rsid w:val="00E84342"/>
    <w:rsid w:val="00E850F4"/>
    <w:rsid w:val="00E85E5C"/>
    <w:rsid w:val="00E860F0"/>
    <w:rsid w:val="00E871DA"/>
    <w:rsid w:val="00E876CE"/>
    <w:rsid w:val="00E87A86"/>
    <w:rsid w:val="00E9127A"/>
    <w:rsid w:val="00E91D43"/>
    <w:rsid w:val="00E92132"/>
    <w:rsid w:val="00E92429"/>
    <w:rsid w:val="00E9351A"/>
    <w:rsid w:val="00E93921"/>
    <w:rsid w:val="00E9432B"/>
    <w:rsid w:val="00E94A57"/>
    <w:rsid w:val="00E94DF7"/>
    <w:rsid w:val="00E95893"/>
    <w:rsid w:val="00E95B7A"/>
    <w:rsid w:val="00E967DC"/>
    <w:rsid w:val="00EA02EF"/>
    <w:rsid w:val="00EA069E"/>
    <w:rsid w:val="00EA0B1D"/>
    <w:rsid w:val="00EA1F5D"/>
    <w:rsid w:val="00EA29E8"/>
    <w:rsid w:val="00EA5333"/>
    <w:rsid w:val="00EA76E3"/>
    <w:rsid w:val="00EA78DB"/>
    <w:rsid w:val="00EA78ED"/>
    <w:rsid w:val="00EB07E5"/>
    <w:rsid w:val="00EB0FF1"/>
    <w:rsid w:val="00EB1261"/>
    <w:rsid w:val="00EB165D"/>
    <w:rsid w:val="00EB2740"/>
    <w:rsid w:val="00EB331F"/>
    <w:rsid w:val="00EB3A98"/>
    <w:rsid w:val="00EB3C85"/>
    <w:rsid w:val="00EB3E0E"/>
    <w:rsid w:val="00EB4006"/>
    <w:rsid w:val="00EB40CE"/>
    <w:rsid w:val="00EB415B"/>
    <w:rsid w:val="00EB4256"/>
    <w:rsid w:val="00EB5508"/>
    <w:rsid w:val="00EB5818"/>
    <w:rsid w:val="00EB5AB5"/>
    <w:rsid w:val="00EB631E"/>
    <w:rsid w:val="00EB6C5A"/>
    <w:rsid w:val="00EB6E8F"/>
    <w:rsid w:val="00EC0517"/>
    <w:rsid w:val="00EC09CF"/>
    <w:rsid w:val="00EC1C9E"/>
    <w:rsid w:val="00EC1F5D"/>
    <w:rsid w:val="00EC2EC2"/>
    <w:rsid w:val="00EC36FC"/>
    <w:rsid w:val="00EC375A"/>
    <w:rsid w:val="00EC45CE"/>
    <w:rsid w:val="00EC4DF5"/>
    <w:rsid w:val="00EC53A4"/>
    <w:rsid w:val="00EC5854"/>
    <w:rsid w:val="00EC59D3"/>
    <w:rsid w:val="00EC66B3"/>
    <w:rsid w:val="00EC6F34"/>
    <w:rsid w:val="00EC7499"/>
    <w:rsid w:val="00ED0199"/>
    <w:rsid w:val="00ED0BEE"/>
    <w:rsid w:val="00ED15BE"/>
    <w:rsid w:val="00ED16E4"/>
    <w:rsid w:val="00ED233F"/>
    <w:rsid w:val="00ED268C"/>
    <w:rsid w:val="00ED2FA3"/>
    <w:rsid w:val="00ED36AD"/>
    <w:rsid w:val="00ED396B"/>
    <w:rsid w:val="00ED452E"/>
    <w:rsid w:val="00ED5733"/>
    <w:rsid w:val="00ED663C"/>
    <w:rsid w:val="00ED6768"/>
    <w:rsid w:val="00ED6AC4"/>
    <w:rsid w:val="00ED7C99"/>
    <w:rsid w:val="00EE0E3F"/>
    <w:rsid w:val="00EE1E15"/>
    <w:rsid w:val="00EE2F80"/>
    <w:rsid w:val="00EE44B9"/>
    <w:rsid w:val="00EE523A"/>
    <w:rsid w:val="00EE71B6"/>
    <w:rsid w:val="00EE71BD"/>
    <w:rsid w:val="00EE7355"/>
    <w:rsid w:val="00EE7AF7"/>
    <w:rsid w:val="00EF0753"/>
    <w:rsid w:val="00EF0786"/>
    <w:rsid w:val="00EF0EFE"/>
    <w:rsid w:val="00EF21B0"/>
    <w:rsid w:val="00EF2A31"/>
    <w:rsid w:val="00EF3030"/>
    <w:rsid w:val="00EF3459"/>
    <w:rsid w:val="00EF389E"/>
    <w:rsid w:val="00EF5089"/>
    <w:rsid w:val="00EF598B"/>
    <w:rsid w:val="00EF5C71"/>
    <w:rsid w:val="00EF6813"/>
    <w:rsid w:val="00EF6955"/>
    <w:rsid w:val="00EF6F5D"/>
    <w:rsid w:val="00EF7009"/>
    <w:rsid w:val="00EF7BE3"/>
    <w:rsid w:val="00F00317"/>
    <w:rsid w:val="00F006BF"/>
    <w:rsid w:val="00F02146"/>
    <w:rsid w:val="00F02148"/>
    <w:rsid w:val="00F023B2"/>
    <w:rsid w:val="00F03914"/>
    <w:rsid w:val="00F05C1E"/>
    <w:rsid w:val="00F06211"/>
    <w:rsid w:val="00F06C24"/>
    <w:rsid w:val="00F07A5E"/>
    <w:rsid w:val="00F07E19"/>
    <w:rsid w:val="00F07F44"/>
    <w:rsid w:val="00F10BF4"/>
    <w:rsid w:val="00F10EEE"/>
    <w:rsid w:val="00F12179"/>
    <w:rsid w:val="00F12338"/>
    <w:rsid w:val="00F12D03"/>
    <w:rsid w:val="00F13F0B"/>
    <w:rsid w:val="00F14700"/>
    <w:rsid w:val="00F15564"/>
    <w:rsid w:val="00F15998"/>
    <w:rsid w:val="00F16A2E"/>
    <w:rsid w:val="00F16BC1"/>
    <w:rsid w:val="00F17480"/>
    <w:rsid w:val="00F1785C"/>
    <w:rsid w:val="00F17893"/>
    <w:rsid w:val="00F17DF5"/>
    <w:rsid w:val="00F209EE"/>
    <w:rsid w:val="00F230AE"/>
    <w:rsid w:val="00F23A7B"/>
    <w:rsid w:val="00F23F32"/>
    <w:rsid w:val="00F23F82"/>
    <w:rsid w:val="00F24266"/>
    <w:rsid w:val="00F24965"/>
    <w:rsid w:val="00F25BDA"/>
    <w:rsid w:val="00F25E80"/>
    <w:rsid w:val="00F26E39"/>
    <w:rsid w:val="00F27540"/>
    <w:rsid w:val="00F27571"/>
    <w:rsid w:val="00F275AF"/>
    <w:rsid w:val="00F27EE1"/>
    <w:rsid w:val="00F27F0F"/>
    <w:rsid w:val="00F344AB"/>
    <w:rsid w:val="00F41C23"/>
    <w:rsid w:val="00F4270E"/>
    <w:rsid w:val="00F42765"/>
    <w:rsid w:val="00F43916"/>
    <w:rsid w:val="00F43AC4"/>
    <w:rsid w:val="00F43B42"/>
    <w:rsid w:val="00F44342"/>
    <w:rsid w:val="00F465AA"/>
    <w:rsid w:val="00F471F2"/>
    <w:rsid w:val="00F4742A"/>
    <w:rsid w:val="00F508AF"/>
    <w:rsid w:val="00F509DA"/>
    <w:rsid w:val="00F520CC"/>
    <w:rsid w:val="00F5225E"/>
    <w:rsid w:val="00F538C0"/>
    <w:rsid w:val="00F540B8"/>
    <w:rsid w:val="00F547B0"/>
    <w:rsid w:val="00F54CBC"/>
    <w:rsid w:val="00F55384"/>
    <w:rsid w:val="00F5562E"/>
    <w:rsid w:val="00F55F52"/>
    <w:rsid w:val="00F55F6C"/>
    <w:rsid w:val="00F571B7"/>
    <w:rsid w:val="00F61B05"/>
    <w:rsid w:val="00F62582"/>
    <w:rsid w:val="00F62C2A"/>
    <w:rsid w:val="00F62EE3"/>
    <w:rsid w:val="00F630A0"/>
    <w:rsid w:val="00F63D0E"/>
    <w:rsid w:val="00F6590E"/>
    <w:rsid w:val="00F6602E"/>
    <w:rsid w:val="00F66F21"/>
    <w:rsid w:val="00F67FB3"/>
    <w:rsid w:val="00F70B94"/>
    <w:rsid w:val="00F71A6C"/>
    <w:rsid w:val="00F726F6"/>
    <w:rsid w:val="00F73778"/>
    <w:rsid w:val="00F73D01"/>
    <w:rsid w:val="00F75868"/>
    <w:rsid w:val="00F75A66"/>
    <w:rsid w:val="00F75CDE"/>
    <w:rsid w:val="00F7605E"/>
    <w:rsid w:val="00F777E7"/>
    <w:rsid w:val="00F77E61"/>
    <w:rsid w:val="00F77F2B"/>
    <w:rsid w:val="00F80153"/>
    <w:rsid w:val="00F80FBB"/>
    <w:rsid w:val="00F82609"/>
    <w:rsid w:val="00F845A2"/>
    <w:rsid w:val="00F855BA"/>
    <w:rsid w:val="00F9007F"/>
    <w:rsid w:val="00F9075F"/>
    <w:rsid w:val="00F90A8F"/>
    <w:rsid w:val="00F9195E"/>
    <w:rsid w:val="00F91FC4"/>
    <w:rsid w:val="00F92245"/>
    <w:rsid w:val="00F923CD"/>
    <w:rsid w:val="00F94868"/>
    <w:rsid w:val="00F9546C"/>
    <w:rsid w:val="00F95797"/>
    <w:rsid w:val="00F962CA"/>
    <w:rsid w:val="00F9678D"/>
    <w:rsid w:val="00F96BE7"/>
    <w:rsid w:val="00F970BD"/>
    <w:rsid w:val="00F97332"/>
    <w:rsid w:val="00F978E0"/>
    <w:rsid w:val="00FA187A"/>
    <w:rsid w:val="00FA221E"/>
    <w:rsid w:val="00FA2963"/>
    <w:rsid w:val="00FA29B1"/>
    <w:rsid w:val="00FA2C6C"/>
    <w:rsid w:val="00FA2E19"/>
    <w:rsid w:val="00FA59B3"/>
    <w:rsid w:val="00FA6962"/>
    <w:rsid w:val="00FA798C"/>
    <w:rsid w:val="00FB0F6B"/>
    <w:rsid w:val="00FB2178"/>
    <w:rsid w:val="00FB2AEE"/>
    <w:rsid w:val="00FB3B39"/>
    <w:rsid w:val="00FB4509"/>
    <w:rsid w:val="00FB4EDE"/>
    <w:rsid w:val="00FB4EF7"/>
    <w:rsid w:val="00FB53AF"/>
    <w:rsid w:val="00FB54C1"/>
    <w:rsid w:val="00FB5EF2"/>
    <w:rsid w:val="00FB6A20"/>
    <w:rsid w:val="00FB6BC9"/>
    <w:rsid w:val="00FB6EB6"/>
    <w:rsid w:val="00FB77B2"/>
    <w:rsid w:val="00FC4BEB"/>
    <w:rsid w:val="00FC4D3D"/>
    <w:rsid w:val="00FC5E81"/>
    <w:rsid w:val="00FC6767"/>
    <w:rsid w:val="00FC7137"/>
    <w:rsid w:val="00FC72E4"/>
    <w:rsid w:val="00FC7CC1"/>
    <w:rsid w:val="00FD26A6"/>
    <w:rsid w:val="00FD3924"/>
    <w:rsid w:val="00FD3AF8"/>
    <w:rsid w:val="00FD52F5"/>
    <w:rsid w:val="00FD548B"/>
    <w:rsid w:val="00FD5629"/>
    <w:rsid w:val="00FD5641"/>
    <w:rsid w:val="00FD5C16"/>
    <w:rsid w:val="00FD64CB"/>
    <w:rsid w:val="00FD7135"/>
    <w:rsid w:val="00FD74A2"/>
    <w:rsid w:val="00FD7E0F"/>
    <w:rsid w:val="00FE0511"/>
    <w:rsid w:val="00FE0532"/>
    <w:rsid w:val="00FE0A17"/>
    <w:rsid w:val="00FE11AA"/>
    <w:rsid w:val="00FE2F91"/>
    <w:rsid w:val="00FE33EB"/>
    <w:rsid w:val="00FE382E"/>
    <w:rsid w:val="00FE460F"/>
    <w:rsid w:val="00FE4AE0"/>
    <w:rsid w:val="00FE5F73"/>
    <w:rsid w:val="00FE61AE"/>
    <w:rsid w:val="00FE69FA"/>
    <w:rsid w:val="00FF00D0"/>
    <w:rsid w:val="00FF0B32"/>
    <w:rsid w:val="00FF0EA4"/>
    <w:rsid w:val="00FF1164"/>
    <w:rsid w:val="00FF1A8D"/>
    <w:rsid w:val="00FF1FC2"/>
    <w:rsid w:val="00FF21E8"/>
    <w:rsid w:val="00FF28BE"/>
    <w:rsid w:val="00FF2B8F"/>
    <w:rsid w:val="00FF2CDF"/>
    <w:rsid w:val="00FF2E67"/>
    <w:rsid w:val="00FF42E5"/>
    <w:rsid w:val="00FF5298"/>
    <w:rsid w:val="00FF72FA"/>
    <w:rsid w:val="00FF75EA"/>
    <w:rsid w:val="01F6A4A4"/>
    <w:rsid w:val="0563BBA7"/>
    <w:rsid w:val="07B1A982"/>
    <w:rsid w:val="0B7DE99F"/>
    <w:rsid w:val="0DCB292A"/>
    <w:rsid w:val="0EA08186"/>
    <w:rsid w:val="13B1466E"/>
    <w:rsid w:val="13B2CD0F"/>
    <w:rsid w:val="13FC9868"/>
    <w:rsid w:val="14B6C580"/>
    <w:rsid w:val="1900253C"/>
    <w:rsid w:val="1C16B020"/>
    <w:rsid w:val="1C3E2AF2"/>
    <w:rsid w:val="211244AB"/>
    <w:rsid w:val="28619CEF"/>
    <w:rsid w:val="28E67ED2"/>
    <w:rsid w:val="2AA30711"/>
    <w:rsid w:val="2B7AE709"/>
    <w:rsid w:val="2B9E2B3D"/>
    <w:rsid w:val="2D65F32A"/>
    <w:rsid w:val="342091E2"/>
    <w:rsid w:val="345C5619"/>
    <w:rsid w:val="35D53DA4"/>
    <w:rsid w:val="3660424D"/>
    <w:rsid w:val="36CE4D38"/>
    <w:rsid w:val="372F0683"/>
    <w:rsid w:val="3A1657A7"/>
    <w:rsid w:val="3C15D8B2"/>
    <w:rsid w:val="3E75334B"/>
    <w:rsid w:val="3F332041"/>
    <w:rsid w:val="40F78A42"/>
    <w:rsid w:val="417BF32F"/>
    <w:rsid w:val="41D8A559"/>
    <w:rsid w:val="4358E9FD"/>
    <w:rsid w:val="45DC1C02"/>
    <w:rsid w:val="478A598D"/>
    <w:rsid w:val="47E0C724"/>
    <w:rsid w:val="4A06AF8B"/>
    <w:rsid w:val="4B6E0B42"/>
    <w:rsid w:val="4BEAF468"/>
    <w:rsid w:val="5047E5D4"/>
    <w:rsid w:val="507F70DA"/>
    <w:rsid w:val="5540973A"/>
    <w:rsid w:val="560654F9"/>
    <w:rsid w:val="560BA7B7"/>
    <w:rsid w:val="56B3A96D"/>
    <w:rsid w:val="59A94A1B"/>
    <w:rsid w:val="5A1CE706"/>
    <w:rsid w:val="5B04CD1F"/>
    <w:rsid w:val="5BA9F348"/>
    <w:rsid w:val="5DD172B5"/>
    <w:rsid w:val="63142B2E"/>
    <w:rsid w:val="638CDEF4"/>
    <w:rsid w:val="69190917"/>
    <w:rsid w:val="6AAC6A70"/>
    <w:rsid w:val="6ABA8F9F"/>
    <w:rsid w:val="6CA3E40F"/>
    <w:rsid w:val="6E15A559"/>
    <w:rsid w:val="7016B1BF"/>
    <w:rsid w:val="707C854E"/>
    <w:rsid w:val="70E19ACE"/>
    <w:rsid w:val="71D5DEBD"/>
    <w:rsid w:val="78D8A04F"/>
    <w:rsid w:val="7982C2AB"/>
    <w:rsid w:val="7CC121F9"/>
    <w:rsid w:val="7D6B69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79EAD8FE"/>
  <w15:chartTrackingRefBased/>
  <w15:docId w15:val="{E7A78EA6-663C-4813-9A74-A6B83FB78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682"/>
    <w:pPr>
      <w:suppressAutoHyphens/>
      <w:spacing w:after="200" w:line="276" w:lineRule="auto"/>
    </w:pPr>
    <w:rPr>
      <w:rFonts w:ascii="Calibri" w:eastAsia="Tahoma" w:hAnsi="Calibri" w:cs="Calibri"/>
      <w:kern w:val="1"/>
      <w:lang w:eastAsia="zh-CN"/>
    </w:rPr>
  </w:style>
  <w:style w:type="paragraph" w:styleId="Ttulo1">
    <w:name w:val="heading 1"/>
    <w:basedOn w:val="Normal"/>
    <w:next w:val="Corpodetexto"/>
    <w:link w:val="Ttulo1Char"/>
    <w:qFormat/>
    <w:rsid w:val="00200682"/>
    <w:pPr>
      <w:keepNext/>
      <w:numPr>
        <w:numId w:val="2"/>
      </w:numPr>
      <w:tabs>
        <w:tab w:val="left" w:pos="0"/>
      </w:tabs>
      <w:ind w:left="0" w:firstLine="0"/>
      <w:jc w:val="both"/>
      <w:outlineLvl w:val="0"/>
    </w:pPr>
    <w:rPr>
      <w:rFonts w:cs="Times New Roman"/>
      <w:b/>
      <w:szCs w:val="20"/>
    </w:rPr>
  </w:style>
  <w:style w:type="paragraph" w:styleId="Ttulo2">
    <w:name w:val="heading 2"/>
    <w:basedOn w:val="Ttulo20"/>
    <w:next w:val="Corpodetexto"/>
    <w:link w:val="Ttulo2Char"/>
    <w:qFormat/>
    <w:rsid w:val="00200682"/>
    <w:pPr>
      <w:numPr>
        <w:ilvl w:val="1"/>
        <w:numId w:val="2"/>
      </w:numPr>
      <w:spacing w:before="200"/>
      <w:outlineLvl w:val="1"/>
    </w:pPr>
    <w:rPr>
      <w:b/>
      <w:bCs/>
      <w:sz w:val="32"/>
      <w:szCs w:val="32"/>
    </w:rPr>
  </w:style>
  <w:style w:type="paragraph" w:styleId="Ttulo3">
    <w:name w:val="heading 3"/>
    <w:basedOn w:val="Ttulo20"/>
    <w:next w:val="Corpodetexto"/>
    <w:link w:val="Ttulo3Char"/>
    <w:qFormat/>
    <w:rsid w:val="00200682"/>
    <w:pPr>
      <w:numPr>
        <w:ilvl w:val="2"/>
        <w:numId w:val="2"/>
      </w:numPr>
      <w:spacing w:before="140"/>
      <w:outlineLvl w:val="2"/>
    </w:pPr>
    <w:rPr>
      <w:b/>
      <w:bCs/>
      <w:color w:val="808080"/>
    </w:rPr>
  </w:style>
  <w:style w:type="paragraph" w:styleId="Ttulo4">
    <w:name w:val="heading 4"/>
    <w:basedOn w:val="Normal"/>
    <w:next w:val="Corpodetexto"/>
    <w:link w:val="Ttulo4Char"/>
    <w:qFormat/>
    <w:rsid w:val="00200682"/>
    <w:pPr>
      <w:keepNext/>
      <w:numPr>
        <w:ilvl w:val="3"/>
        <w:numId w:val="2"/>
      </w:numPr>
      <w:spacing w:before="240" w:after="60"/>
      <w:ind w:left="0" w:firstLine="0"/>
      <w:outlineLvl w:val="3"/>
    </w:pPr>
    <w:rPr>
      <w:rFonts w:cs="Times New Roman"/>
      <w:b/>
      <w:bCs/>
      <w:sz w:val="28"/>
      <w:szCs w:val="28"/>
    </w:rPr>
  </w:style>
  <w:style w:type="paragraph" w:styleId="Ttulo6">
    <w:name w:val="heading 6"/>
    <w:basedOn w:val="Normal"/>
    <w:next w:val="Corpodetexto"/>
    <w:link w:val="Ttulo6Char"/>
    <w:qFormat/>
    <w:rsid w:val="00200682"/>
    <w:pPr>
      <w:numPr>
        <w:ilvl w:val="5"/>
        <w:numId w:val="2"/>
      </w:numPr>
      <w:spacing w:before="240" w:after="60"/>
      <w:ind w:left="0" w:firstLine="0"/>
      <w:outlineLvl w:val="5"/>
    </w:pPr>
    <w:rPr>
      <w:rFonts w:cs="Times New Roman"/>
      <w:b/>
      <w:bCs/>
    </w:rPr>
  </w:style>
  <w:style w:type="paragraph" w:styleId="Ttulo7">
    <w:name w:val="heading 7"/>
    <w:basedOn w:val="Normal"/>
    <w:next w:val="Normal"/>
    <w:link w:val="Ttulo7Char"/>
    <w:qFormat/>
    <w:rsid w:val="00200682"/>
    <w:pPr>
      <w:suppressAutoHyphens w:val="0"/>
      <w:spacing w:before="240" w:after="60" w:line="240" w:lineRule="auto"/>
      <w:outlineLvl w:val="6"/>
    </w:pPr>
    <w:rPr>
      <w:rFonts w:eastAsia="Times New Roman" w:cs="Times New Roman"/>
      <w:kern w:val="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3C6253"/>
    <w:pPr>
      <w:tabs>
        <w:tab w:val="center" w:pos="4252"/>
        <w:tab w:val="right" w:pos="8504"/>
      </w:tabs>
      <w:spacing w:after="0" w:line="240" w:lineRule="auto"/>
    </w:pPr>
  </w:style>
  <w:style w:type="character" w:customStyle="1" w:styleId="CabealhoChar">
    <w:name w:val="Cabeçalho Char"/>
    <w:basedOn w:val="Fontepargpadro"/>
    <w:link w:val="Cabealho"/>
    <w:rsid w:val="003C6253"/>
  </w:style>
  <w:style w:type="paragraph" w:styleId="Rodap">
    <w:name w:val="footer"/>
    <w:basedOn w:val="Normal"/>
    <w:link w:val="RodapChar"/>
    <w:uiPriority w:val="99"/>
    <w:unhideWhenUsed/>
    <w:rsid w:val="003C6253"/>
    <w:pPr>
      <w:tabs>
        <w:tab w:val="center" w:pos="4252"/>
        <w:tab w:val="right" w:pos="8504"/>
      </w:tabs>
      <w:spacing w:after="0" w:line="240" w:lineRule="auto"/>
    </w:pPr>
  </w:style>
  <w:style w:type="character" w:customStyle="1" w:styleId="RodapChar">
    <w:name w:val="Rodapé Char"/>
    <w:basedOn w:val="Fontepargpadro"/>
    <w:link w:val="Rodap"/>
    <w:uiPriority w:val="99"/>
    <w:rsid w:val="003C6253"/>
  </w:style>
  <w:style w:type="character" w:styleId="Hyperlink">
    <w:name w:val="Hyperlink"/>
    <w:rsid w:val="003C6253"/>
    <w:rPr>
      <w:rFonts w:cs="Times New Roman"/>
      <w:color w:val="0000FF"/>
      <w:u w:val="single"/>
    </w:rPr>
  </w:style>
  <w:style w:type="character" w:customStyle="1" w:styleId="object">
    <w:name w:val="object"/>
    <w:rsid w:val="003C6253"/>
    <w:rPr>
      <w:rFonts w:cs="Times New Roman"/>
    </w:rPr>
  </w:style>
  <w:style w:type="character" w:styleId="MenoPendente">
    <w:name w:val="Unresolved Mention"/>
    <w:basedOn w:val="Fontepargpadro"/>
    <w:uiPriority w:val="99"/>
    <w:semiHidden/>
    <w:unhideWhenUsed/>
    <w:rsid w:val="003C6253"/>
    <w:rPr>
      <w:color w:val="808080"/>
      <w:shd w:val="clear" w:color="auto" w:fill="E6E6E6"/>
    </w:rPr>
  </w:style>
  <w:style w:type="character" w:styleId="nfase">
    <w:name w:val="Emphasis"/>
    <w:basedOn w:val="Fontepargpadro"/>
    <w:uiPriority w:val="20"/>
    <w:qFormat/>
    <w:rsid w:val="003C6253"/>
    <w:rPr>
      <w:i/>
      <w:iCs/>
    </w:rPr>
  </w:style>
  <w:style w:type="character" w:customStyle="1" w:styleId="Ttulo1Char">
    <w:name w:val="Título 1 Char"/>
    <w:basedOn w:val="Fontepargpadro"/>
    <w:link w:val="Ttulo1"/>
    <w:rsid w:val="00200682"/>
    <w:rPr>
      <w:rFonts w:ascii="Calibri" w:eastAsia="Tahoma" w:hAnsi="Calibri" w:cs="Times New Roman"/>
      <w:b/>
      <w:kern w:val="1"/>
      <w:szCs w:val="20"/>
      <w:lang w:eastAsia="zh-CN"/>
    </w:rPr>
  </w:style>
  <w:style w:type="character" w:customStyle="1" w:styleId="Ttulo2Char">
    <w:name w:val="Título 2 Char"/>
    <w:basedOn w:val="Fontepargpadro"/>
    <w:link w:val="Ttulo2"/>
    <w:rsid w:val="00200682"/>
    <w:rPr>
      <w:rFonts w:ascii="Liberation Sans" w:eastAsia="Microsoft YaHei" w:hAnsi="Liberation Sans" w:cs="Mangal"/>
      <w:b/>
      <w:bCs/>
      <w:kern w:val="1"/>
      <w:sz w:val="32"/>
      <w:szCs w:val="32"/>
      <w:lang w:eastAsia="zh-CN"/>
    </w:rPr>
  </w:style>
  <w:style w:type="character" w:customStyle="1" w:styleId="Ttulo3Char">
    <w:name w:val="Título 3 Char"/>
    <w:basedOn w:val="Fontepargpadro"/>
    <w:link w:val="Ttulo3"/>
    <w:rsid w:val="00200682"/>
    <w:rPr>
      <w:rFonts w:ascii="Liberation Sans" w:eastAsia="Microsoft YaHei" w:hAnsi="Liberation Sans" w:cs="Mangal"/>
      <w:b/>
      <w:bCs/>
      <w:color w:val="808080"/>
      <w:kern w:val="1"/>
      <w:sz w:val="28"/>
      <w:szCs w:val="28"/>
      <w:lang w:eastAsia="zh-CN"/>
    </w:rPr>
  </w:style>
  <w:style w:type="character" w:customStyle="1" w:styleId="Ttulo4Char">
    <w:name w:val="Título 4 Char"/>
    <w:basedOn w:val="Fontepargpadro"/>
    <w:link w:val="Ttulo4"/>
    <w:rsid w:val="00200682"/>
    <w:rPr>
      <w:rFonts w:ascii="Calibri" w:eastAsia="Tahoma" w:hAnsi="Calibri" w:cs="Times New Roman"/>
      <w:b/>
      <w:bCs/>
      <w:kern w:val="1"/>
      <w:sz w:val="28"/>
      <w:szCs w:val="28"/>
      <w:lang w:eastAsia="zh-CN"/>
    </w:rPr>
  </w:style>
  <w:style w:type="character" w:customStyle="1" w:styleId="Ttulo6Char">
    <w:name w:val="Título 6 Char"/>
    <w:basedOn w:val="Fontepargpadro"/>
    <w:link w:val="Ttulo6"/>
    <w:rsid w:val="00200682"/>
    <w:rPr>
      <w:rFonts w:ascii="Calibri" w:eastAsia="Tahoma" w:hAnsi="Calibri" w:cs="Times New Roman"/>
      <w:b/>
      <w:bCs/>
      <w:kern w:val="1"/>
      <w:lang w:eastAsia="zh-CN"/>
    </w:rPr>
  </w:style>
  <w:style w:type="character" w:customStyle="1" w:styleId="Ttulo7Char">
    <w:name w:val="Título 7 Char"/>
    <w:basedOn w:val="Fontepargpadro"/>
    <w:link w:val="Ttulo7"/>
    <w:rsid w:val="00200682"/>
    <w:rPr>
      <w:rFonts w:ascii="Calibri" w:eastAsia="Times New Roman" w:hAnsi="Calibri" w:cs="Times New Roman"/>
      <w:sz w:val="24"/>
      <w:szCs w:val="24"/>
      <w:lang w:val="x-none" w:eastAsia="x-none"/>
    </w:rPr>
  </w:style>
  <w:style w:type="character" w:customStyle="1" w:styleId="WW8Num1z0">
    <w:name w:val="WW8Num1z0"/>
    <w:rsid w:val="00200682"/>
  </w:style>
  <w:style w:type="character" w:customStyle="1" w:styleId="WW8Num1z1">
    <w:name w:val="WW8Num1z1"/>
    <w:rsid w:val="00200682"/>
  </w:style>
  <w:style w:type="character" w:customStyle="1" w:styleId="WW8Num1z2">
    <w:name w:val="WW8Num1z2"/>
    <w:rsid w:val="00200682"/>
  </w:style>
  <w:style w:type="character" w:customStyle="1" w:styleId="WW8Num1z3">
    <w:name w:val="WW8Num1z3"/>
    <w:rsid w:val="00200682"/>
  </w:style>
  <w:style w:type="character" w:customStyle="1" w:styleId="WW8Num1z4">
    <w:name w:val="WW8Num1z4"/>
    <w:rsid w:val="00200682"/>
  </w:style>
  <w:style w:type="character" w:customStyle="1" w:styleId="WW8Num1z5">
    <w:name w:val="WW8Num1z5"/>
    <w:rsid w:val="00200682"/>
  </w:style>
  <w:style w:type="character" w:customStyle="1" w:styleId="WW8Num1z6">
    <w:name w:val="WW8Num1z6"/>
    <w:rsid w:val="00200682"/>
  </w:style>
  <w:style w:type="character" w:customStyle="1" w:styleId="WW8Num1z7">
    <w:name w:val="WW8Num1z7"/>
    <w:rsid w:val="00200682"/>
  </w:style>
  <w:style w:type="character" w:customStyle="1" w:styleId="WW8Num1z8">
    <w:name w:val="WW8Num1z8"/>
    <w:rsid w:val="00200682"/>
  </w:style>
  <w:style w:type="character" w:customStyle="1" w:styleId="WW8Num2z0">
    <w:name w:val="WW8Num2z0"/>
    <w:rsid w:val="00200682"/>
  </w:style>
  <w:style w:type="character" w:customStyle="1" w:styleId="WW8Num2z1">
    <w:name w:val="WW8Num2z1"/>
    <w:rsid w:val="00200682"/>
  </w:style>
  <w:style w:type="character" w:customStyle="1" w:styleId="WW8Num2z2">
    <w:name w:val="WW8Num2z2"/>
    <w:rsid w:val="00200682"/>
  </w:style>
  <w:style w:type="character" w:customStyle="1" w:styleId="WW8Num2z3">
    <w:name w:val="WW8Num2z3"/>
    <w:rsid w:val="00200682"/>
  </w:style>
  <w:style w:type="character" w:customStyle="1" w:styleId="WW8Num2z4">
    <w:name w:val="WW8Num2z4"/>
    <w:rsid w:val="00200682"/>
  </w:style>
  <w:style w:type="character" w:customStyle="1" w:styleId="WW8Num2z5">
    <w:name w:val="WW8Num2z5"/>
    <w:rsid w:val="00200682"/>
  </w:style>
  <w:style w:type="character" w:customStyle="1" w:styleId="WW8Num2z6">
    <w:name w:val="WW8Num2z6"/>
    <w:rsid w:val="00200682"/>
  </w:style>
  <w:style w:type="character" w:customStyle="1" w:styleId="WW8Num2z7">
    <w:name w:val="WW8Num2z7"/>
    <w:rsid w:val="00200682"/>
  </w:style>
  <w:style w:type="character" w:customStyle="1" w:styleId="WW8Num2z8">
    <w:name w:val="WW8Num2z8"/>
    <w:rsid w:val="00200682"/>
  </w:style>
  <w:style w:type="character" w:customStyle="1" w:styleId="Fontepargpadro3">
    <w:name w:val="Fonte parág. padrão3"/>
    <w:rsid w:val="00200682"/>
  </w:style>
  <w:style w:type="character" w:customStyle="1" w:styleId="Fontepargpadro2">
    <w:name w:val="Fonte parág. padrão2"/>
    <w:rsid w:val="00200682"/>
  </w:style>
  <w:style w:type="character" w:customStyle="1" w:styleId="Fontepargpadro1">
    <w:name w:val="Fonte parág. padrão1"/>
    <w:rsid w:val="00200682"/>
  </w:style>
  <w:style w:type="character" w:customStyle="1" w:styleId="Heading1Char">
    <w:name w:val="Heading 1 Char"/>
    <w:rsid w:val="00200682"/>
    <w:rPr>
      <w:rFonts w:ascii="Cambria" w:hAnsi="Cambria" w:cs="Times New Roman"/>
      <w:b/>
      <w:bCs/>
      <w:kern w:val="1"/>
      <w:sz w:val="32"/>
      <w:szCs w:val="32"/>
      <w:lang w:val="pt-BR"/>
    </w:rPr>
  </w:style>
  <w:style w:type="character" w:customStyle="1" w:styleId="Heading4Char">
    <w:name w:val="Heading 4 Char"/>
    <w:rsid w:val="00200682"/>
    <w:rPr>
      <w:rFonts w:ascii="Calibri" w:hAnsi="Calibri" w:cs="Times New Roman"/>
      <w:b/>
      <w:bCs/>
      <w:sz w:val="28"/>
      <w:szCs w:val="28"/>
      <w:lang w:val="pt-BR"/>
    </w:rPr>
  </w:style>
  <w:style w:type="character" w:customStyle="1" w:styleId="Heading6Char">
    <w:name w:val="Heading 6 Char"/>
    <w:rsid w:val="00200682"/>
    <w:rPr>
      <w:rFonts w:ascii="Calibri" w:hAnsi="Calibri" w:cs="Times New Roman"/>
      <w:b/>
      <w:bCs/>
      <w:lang w:val="pt-BR"/>
    </w:rPr>
  </w:style>
  <w:style w:type="character" w:customStyle="1" w:styleId="HeaderChar">
    <w:name w:val="Header Char"/>
    <w:rsid w:val="00200682"/>
    <w:rPr>
      <w:rFonts w:ascii="Calibri" w:hAnsi="Calibri" w:cs="Times New Roman"/>
      <w:sz w:val="22"/>
      <w:szCs w:val="22"/>
      <w:lang w:val="pt-BR" w:bidi="ar-SA"/>
    </w:rPr>
  </w:style>
  <w:style w:type="character" w:customStyle="1" w:styleId="FooterChar">
    <w:name w:val="Footer Char"/>
    <w:rsid w:val="00200682"/>
    <w:rPr>
      <w:rFonts w:ascii="Calibri" w:hAnsi="Calibri" w:cs="Times New Roman"/>
      <w:lang w:val="pt-BR"/>
    </w:rPr>
  </w:style>
  <w:style w:type="character" w:customStyle="1" w:styleId="BalloonTextChar">
    <w:name w:val="Balloon Text Char"/>
    <w:rsid w:val="00200682"/>
    <w:rPr>
      <w:rFonts w:cs="Times New Roman"/>
      <w:sz w:val="2"/>
      <w:lang w:val="pt-BR"/>
    </w:rPr>
  </w:style>
  <w:style w:type="character" w:customStyle="1" w:styleId="BodyTextIndentChar">
    <w:name w:val="Body Text Indent Char"/>
    <w:rsid w:val="00200682"/>
    <w:rPr>
      <w:rFonts w:ascii="Calibri" w:hAnsi="Calibri" w:cs="Times New Roman"/>
      <w:lang w:val="pt-BR"/>
    </w:rPr>
  </w:style>
  <w:style w:type="character" w:customStyle="1" w:styleId="ListLabel1">
    <w:name w:val="ListLabel 1"/>
    <w:rsid w:val="00200682"/>
    <w:rPr>
      <w:rFonts w:cs="Times New Roman"/>
    </w:rPr>
  </w:style>
  <w:style w:type="character" w:customStyle="1" w:styleId="Fontepargpadro11">
    <w:name w:val="Fonte parág. padrão11"/>
    <w:rsid w:val="00200682"/>
  </w:style>
  <w:style w:type="character" w:customStyle="1" w:styleId="Marcas">
    <w:name w:val="Marcas"/>
    <w:rsid w:val="00200682"/>
    <w:rPr>
      <w:rFonts w:ascii="OpenSymbol" w:eastAsia="OpenSymbol" w:hAnsi="OpenSymbol" w:cs="OpenSymbol"/>
    </w:rPr>
  </w:style>
  <w:style w:type="paragraph" w:customStyle="1" w:styleId="Ttulo30">
    <w:name w:val="Título3"/>
    <w:basedOn w:val="Ttulo20"/>
    <w:next w:val="Corpodetexto"/>
    <w:rsid w:val="00200682"/>
    <w:pPr>
      <w:jc w:val="center"/>
    </w:pPr>
    <w:rPr>
      <w:b/>
      <w:bCs/>
      <w:sz w:val="56"/>
      <w:szCs w:val="56"/>
    </w:rPr>
  </w:style>
  <w:style w:type="paragraph" w:styleId="Corpodetexto">
    <w:name w:val="Body Text"/>
    <w:basedOn w:val="Normal"/>
    <w:link w:val="CorpodetextoChar"/>
    <w:rsid w:val="00200682"/>
    <w:pPr>
      <w:spacing w:after="140" w:line="288" w:lineRule="auto"/>
    </w:pPr>
  </w:style>
  <w:style w:type="character" w:customStyle="1" w:styleId="CorpodetextoChar">
    <w:name w:val="Corpo de texto Char"/>
    <w:basedOn w:val="Fontepargpadro"/>
    <w:link w:val="Corpodetexto"/>
    <w:rsid w:val="00200682"/>
    <w:rPr>
      <w:rFonts w:ascii="Calibri" w:eastAsia="Tahoma" w:hAnsi="Calibri" w:cs="Calibri"/>
      <w:kern w:val="1"/>
      <w:lang w:eastAsia="zh-CN"/>
    </w:rPr>
  </w:style>
  <w:style w:type="paragraph" w:styleId="Lista">
    <w:name w:val="List"/>
    <w:basedOn w:val="Corpodetexto"/>
    <w:rsid w:val="00200682"/>
    <w:rPr>
      <w:rFonts w:cs="Mangal"/>
    </w:rPr>
  </w:style>
  <w:style w:type="paragraph" w:styleId="Legenda">
    <w:name w:val="caption"/>
    <w:basedOn w:val="Normal"/>
    <w:qFormat/>
    <w:rsid w:val="00200682"/>
    <w:pPr>
      <w:suppressLineNumbers/>
      <w:spacing w:before="120" w:after="120"/>
    </w:pPr>
    <w:rPr>
      <w:rFonts w:cs="Mangal"/>
      <w:i/>
      <w:iCs/>
      <w:sz w:val="24"/>
      <w:szCs w:val="24"/>
    </w:rPr>
  </w:style>
  <w:style w:type="paragraph" w:customStyle="1" w:styleId="ndice">
    <w:name w:val="Índice"/>
    <w:basedOn w:val="Normal"/>
    <w:rsid w:val="00200682"/>
    <w:pPr>
      <w:suppressLineNumbers/>
    </w:pPr>
    <w:rPr>
      <w:rFonts w:cs="Mangal"/>
    </w:rPr>
  </w:style>
  <w:style w:type="paragraph" w:customStyle="1" w:styleId="Ttulo20">
    <w:name w:val="Título2"/>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tulo10">
    <w:name w:val="Título1"/>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extodebalo1">
    <w:name w:val="Texto de balão1"/>
    <w:basedOn w:val="Normal"/>
    <w:rsid w:val="00200682"/>
    <w:rPr>
      <w:rFonts w:ascii="Tahoma" w:hAnsi="Tahoma" w:cs="Tahoma"/>
      <w:sz w:val="16"/>
      <w:szCs w:val="16"/>
    </w:rPr>
  </w:style>
  <w:style w:type="paragraph" w:styleId="Recuodecorpodetexto">
    <w:name w:val="Body Text Indent"/>
    <w:basedOn w:val="Normal"/>
    <w:link w:val="RecuodecorpodetextoChar"/>
    <w:rsid w:val="00200682"/>
    <w:pPr>
      <w:spacing w:after="120"/>
      <w:ind w:left="283"/>
    </w:pPr>
    <w:rPr>
      <w:rFonts w:cs="Times New Roman"/>
    </w:rPr>
  </w:style>
  <w:style w:type="character" w:customStyle="1" w:styleId="RecuodecorpodetextoChar">
    <w:name w:val="Recuo de corpo de texto Char"/>
    <w:basedOn w:val="Fontepargpadro"/>
    <w:link w:val="Recuodecorpodetexto"/>
    <w:rsid w:val="00200682"/>
    <w:rPr>
      <w:rFonts w:ascii="Calibri" w:eastAsia="Tahoma" w:hAnsi="Calibri" w:cs="Times New Roman"/>
      <w:kern w:val="1"/>
      <w:lang w:eastAsia="zh-CN"/>
    </w:rPr>
  </w:style>
  <w:style w:type="paragraph" w:customStyle="1" w:styleId="PargrafodaLista1">
    <w:name w:val="Parágrafo da Lista1"/>
    <w:basedOn w:val="Normal"/>
    <w:rsid w:val="00200682"/>
    <w:pPr>
      <w:ind w:left="720"/>
      <w:contextualSpacing/>
    </w:pPr>
    <w:rPr>
      <w:rFonts w:cs="Times New Roman"/>
    </w:rPr>
  </w:style>
  <w:style w:type="paragraph" w:customStyle="1" w:styleId="Corpodetexto22">
    <w:name w:val="Corpo de texto 22"/>
    <w:basedOn w:val="Normal"/>
    <w:rsid w:val="00200682"/>
    <w:pPr>
      <w:jc w:val="both"/>
    </w:pPr>
    <w:rPr>
      <w:sz w:val="28"/>
      <w:szCs w:val="20"/>
    </w:rPr>
  </w:style>
  <w:style w:type="paragraph" w:customStyle="1" w:styleId="Contedodatabela">
    <w:name w:val="Conteúdo da tabela"/>
    <w:basedOn w:val="Normal"/>
    <w:rsid w:val="00200682"/>
    <w:pPr>
      <w:suppressLineNumbers/>
    </w:pPr>
  </w:style>
  <w:style w:type="paragraph" w:customStyle="1" w:styleId="Ttulodetabela">
    <w:name w:val="Título de tabela"/>
    <w:basedOn w:val="Contedodatabela"/>
    <w:rsid w:val="00200682"/>
    <w:pPr>
      <w:jc w:val="center"/>
    </w:pPr>
    <w:rPr>
      <w:b/>
      <w:bCs/>
    </w:rPr>
  </w:style>
  <w:style w:type="paragraph" w:customStyle="1" w:styleId="Standard">
    <w:name w:val="Standard"/>
    <w:rsid w:val="00200682"/>
    <w:pPr>
      <w:suppressAutoHyphens/>
      <w:spacing w:after="0" w:line="240" w:lineRule="auto"/>
    </w:pPr>
    <w:rPr>
      <w:rFonts w:ascii="Liberation Serif" w:eastAsia="Arial" w:hAnsi="Liberation Serif" w:cs="Liberation Serif"/>
      <w:sz w:val="24"/>
      <w:szCs w:val="24"/>
      <w:lang w:eastAsia="zh-CN"/>
    </w:rPr>
  </w:style>
  <w:style w:type="paragraph" w:customStyle="1" w:styleId="Ttulo21">
    <w:name w:val="T’tulo 2"/>
    <w:basedOn w:val="Standard"/>
    <w:next w:val="Standard"/>
    <w:rsid w:val="00200682"/>
    <w:pPr>
      <w:spacing w:before="120"/>
    </w:pPr>
    <w:rPr>
      <w:rFonts w:ascii="Arial" w:hAnsi="Arial" w:cs="Arial"/>
      <w:b/>
      <w:szCs w:val="20"/>
    </w:rPr>
  </w:style>
  <w:style w:type="paragraph" w:customStyle="1" w:styleId="Citaes">
    <w:name w:val="Citações"/>
    <w:basedOn w:val="Normal"/>
    <w:rsid w:val="00200682"/>
    <w:pPr>
      <w:spacing w:after="283"/>
      <w:ind w:left="567" w:right="567"/>
    </w:pPr>
  </w:style>
  <w:style w:type="paragraph" w:styleId="Subttulo">
    <w:name w:val="Subtitle"/>
    <w:basedOn w:val="Ttulo20"/>
    <w:next w:val="Corpodetexto"/>
    <w:link w:val="SubttuloChar"/>
    <w:qFormat/>
    <w:rsid w:val="00200682"/>
    <w:pPr>
      <w:spacing w:before="60"/>
      <w:jc w:val="center"/>
    </w:pPr>
    <w:rPr>
      <w:sz w:val="36"/>
      <w:szCs w:val="36"/>
    </w:rPr>
  </w:style>
  <w:style w:type="character" w:customStyle="1" w:styleId="SubttuloChar">
    <w:name w:val="Subtítulo Char"/>
    <w:basedOn w:val="Fontepargpadro"/>
    <w:link w:val="Subttulo"/>
    <w:rsid w:val="00200682"/>
    <w:rPr>
      <w:rFonts w:ascii="Liberation Sans" w:eastAsia="Microsoft YaHei" w:hAnsi="Liberation Sans" w:cs="Mangal"/>
      <w:kern w:val="1"/>
      <w:sz w:val="36"/>
      <w:szCs w:val="36"/>
      <w:lang w:eastAsia="zh-CN"/>
    </w:rPr>
  </w:style>
  <w:style w:type="paragraph" w:styleId="PargrafodaLista">
    <w:name w:val="List Paragraph"/>
    <w:basedOn w:val="Normal"/>
    <w:uiPriority w:val="34"/>
    <w:qFormat/>
    <w:rsid w:val="00200682"/>
    <w:pPr>
      <w:suppressAutoHyphens w:val="0"/>
      <w:ind w:left="720"/>
      <w:contextualSpacing/>
    </w:pPr>
    <w:rPr>
      <w:rFonts w:eastAsia="Calibri" w:cs="Times New Roman"/>
      <w:kern w:val="0"/>
      <w:lang w:eastAsia="en-US"/>
    </w:rPr>
  </w:style>
  <w:style w:type="character" w:styleId="Forte">
    <w:name w:val="Strong"/>
    <w:uiPriority w:val="22"/>
    <w:qFormat/>
    <w:rsid w:val="00200682"/>
    <w:rPr>
      <w:b/>
      <w:bCs/>
    </w:rPr>
  </w:style>
  <w:style w:type="paragraph" w:styleId="Textodebalo">
    <w:name w:val="Balloon Text"/>
    <w:basedOn w:val="Normal"/>
    <w:link w:val="TextodebaloChar"/>
    <w:semiHidden/>
    <w:rsid w:val="00200682"/>
    <w:pPr>
      <w:suppressAutoHyphens w:val="0"/>
      <w:spacing w:after="0" w:line="240" w:lineRule="auto"/>
    </w:pPr>
    <w:rPr>
      <w:rFonts w:ascii="Tahoma" w:eastAsia="Times New Roman" w:hAnsi="Tahoma" w:cs="Tahoma"/>
      <w:kern w:val="0"/>
      <w:sz w:val="16"/>
      <w:szCs w:val="16"/>
      <w:lang w:eastAsia="pt-BR"/>
    </w:rPr>
  </w:style>
  <w:style w:type="character" w:customStyle="1" w:styleId="TextodebaloChar">
    <w:name w:val="Texto de balão Char"/>
    <w:basedOn w:val="Fontepargpadro"/>
    <w:link w:val="Textodebalo"/>
    <w:semiHidden/>
    <w:rsid w:val="00200682"/>
    <w:rPr>
      <w:rFonts w:ascii="Tahoma" w:eastAsia="Times New Roman" w:hAnsi="Tahoma" w:cs="Tahoma"/>
      <w:sz w:val="16"/>
      <w:szCs w:val="16"/>
      <w:lang w:eastAsia="pt-BR"/>
    </w:rPr>
  </w:style>
  <w:style w:type="paragraph" w:styleId="Ttulo">
    <w:name w:val="Title"/>
    <w:basedOn w:val="Normal"/>
    <w:next w:val="Subttulo"/>
    <w:link w:val="TtuloChar"/>
    <w:qFormat/>
    <w:rsid w:val="00200682"/>
    <w:pPr>
      <w:spacing w:after="0" w:line="240" w:lineRule="auto"/>
      <w:jc w:val="center"/>
    </w:pPr>
    <w:rPr>
      <w:rFonts w:ascii="Times New Roman" w:eastAsia="Times New Roman" w:hAnsi="Times New Roman" w:cs="Times New Roman"/>
      <w:kern w:val="0"/>
      <w:sz w:val="28"/>
      <w:szCs w:val="20"/>
      <w:lang w:val="x-none"/>
    </w:rPr>
  </w:style>
  <w:style w:type="character" w:customStyle="1" w:styleId="TtuloChar">
    <w:name w:val="Título Char"/>
    <w:basedOn w:val="Fontepargpadro"/>
    <w:link w:val="Ttulo"/>
    <w:rsid w:val="00200682"/>
    <w:rPr>
      <w:rFonts w:ascii="Times New Roman" w:eastAsia="Times New Roman" w:hAnsi="Times New Roman" w:cs="Times New Roman"/>
      <w:sz w:val="28"/>
      <w:szCs w:val="20"/>
      <w:lang w:val="x-none" w:eastAsia="zh-CN"/>
    </w:rPr>
  </w:style>
  <w:style w:type="paragraph" w:customStyle="1" w:styleId="Corpodetexto21">
    <w:name w:val="Corpo de texto 21"/>
    <w:basedOn w:val="Normal"/>
    <w:rsid w:val="00200682"/>
    <w:pPr>
      <w:spacing w:after="0" w:line="240" w:lineRule="auto"/>
      <w:jc w:val="both"/>
    </w:pPr>
    <w:rPr>
      <w:rFonts w:ascii="Times New Roman" w:eastAsia="Times New Roman" w:hAnsi="Times New Roman" w:cs="Times New Roman"/>
      <w:kern w:val="0"/>
      <w:sz w:val="26"/>
      <w:szCs w:val="20"/>
      <w:lang w:eastAsia="ar-SA"/>
    </w:rPr>
  </w:style>
  <w:style w:type="paragraph" w:styleId="Corpodetexto2">
    <w:name w:val="Body Text 2"/>
    <w:basedOn w:val="Normal"/>
    <w:link w:val="Corpodetexto2Char"/>
    <w:rsid w:val="00200682"/>
    <w:pPr>
      <w:spacing w:after="120" w:line="480" w:lineRule="auto"/>
      <w:jc w:val="both"/>
    </w:pPr>
    <w:rPr>
      <w:rFonts w:ascii="Times New Roman" w:eastAsia="Times New Roman" w:hAnsi="Times New Roman" w:cs="Times New Roman"/>
      <w:kern w:val="0"/>
      <w:sz w:val="24"/>
      <w:szCs w:val="20"/>
      <w:lang w:val="x-none" w:eastAsia="ar-SA"/>
    </w:rPr>
  </w:style>
  <w:style w:type="character" w:customStyle="1" w:styleId="Corpodetexto2Char">
    <w:name w:val="Corpo de texto 2 Char"/>
    <w:basedOn w:val="Fontepargpadro"/>
    <w:link w:val="Corpodetexto2"/>
    <w:rsid w:val="00200682"/>
    <w:rPr>
      <w:rFonts w:ascii="Times New Roman" w:eastAsia="Times New Roman" w:hAnsi="Times New Roman" w:cs="Times New Roman"/>
      <w:sz w:val="24"/>
      <w:szCs w:val="20"/>
      <w:lang w:val="x-none" w:eastAsia="ar-SA"/>
    </w:rPr>
  </w:style>
  <w:style w:type="character" w:customStyle="1" w:styleId="apple-style-span">
    <w:name w:val="apple-style-span"/>
    <w:rsid w:val="00200682"/>
  </w:style>
  <w:style w:type="character" w:styleId="Nmerodepgina">
    <w:name w:val="page number"/>
    <w:rsid w:val="00200682"/>
  </w:style>
  <w:style w:type="character" w:customStyle="1" w:styleId="CharChar1">
    <w:name w:val="Char Char1"/>
    <w:rsid w:val="00200682"/>
    <w:rPr>
      <w:rFonts w:ascii="Times New Roman" w:eastAsia="Times New Roman" w:hAnsi="Times New Roman" w:cs="Times New Roman"/>
      <w:i/>
      <w:sz w:val="24"/>
      <w:szCs w:val="20"/>
      <w:lang w:eastAsia="pt-BR"/>
    </w:rPr>
  </w:style>
  <w:style w:type="paragraph" w:styleId="Recuodecorpodetexto2">
    <w:name w:val="Body Text Indent 2"/>
    <w:basedOn w:val="Normal"/>
    <w:link w:val="Recuodecorpodetexto2Char"/>
    <w:unhideWhenUsed/>
    <w:rsid w:val="00200682"/>
    <w:pPr>
      <w:spacing w:after="120" w:line="480" w:lineRule="auto"/>
      <w:ind w:left="283"/>
    </w:pPr>
    <w:rPr>
      <w:rFonts w:ascii="Times New Roman" w:eastAsia="Times New Roman" w:hAnsi="Times New Roman" w:cs="Times New Roman"/>
      <w:kern w:val="0"/>
      <w:sz w:val="20"/>
      <w:szCs w:val="20"/>
      <w:lang w:val="x-none" w:eastAsia="ar-SA"/>
    </w:rPr>
  </w:style>
  <w:style w:type="character" w:customStyle="1" w:styleId="Recuodecorpodetexto2Char">
    <w:name w:val="Recuo de corpo de texto 2 Char"/>
    <w:basedOn w:val="Fontepargpadro"/>
    <w:link w:val="Recuodecorpodetexto2"/>
    <w:rsid w:val="00200682"/>
    <w:rPr>
      <w:rFonts w:ascii="Times New Roman" w:eastAsia="Times New Roman" w:hAnsi="Times New Roman" w:cs="Times New Roman"/>
      <w:sz w:val="20"/>
      <w:szCs w:val="20"/>
      <w:lang w:val="x-none" w:eastAsia="ar-SA"/>
    </w:rPr>
  </w:style>
  <w:style w:type="paragraph" w:customStyle="1" w:styleId="Default">
    <w:name w:val="Default"/>
    <w:rsid w:val="0020068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NormalWeb">
    <w:name w:val="Normal (Web)"/>
    <w:basedOn w:val="Normal"/>
    <w:rsid w:val="00200682"/>
    <w:pPr>
      <w:suppressAutoHyphens w:val="0"/>
      <w:spacing w:after="324" w:line="240" w:lineRule="auto"/>
    </w:pPr>
    <w:rPr>
      <w:rFonts w:ascii="Times New Roman" w:eastAsia="Times New Roman" w:hAnsi="Times New Roman" w:cs="Times New Roman"/>
      <w:kern w:val="0"/>
      <w:sz w:val="24"/>
      <w:szCs w:val="24"/>
      <w:lang w:eastAsia="pt-BR"/>
    </w:rPr>
  </w:style>
  <w:style w:type="paragraph" w:customStyle="1" w:styleId="ecxmsonormal">
    <w:name w:val="ecxmsonormal"/>
    <w:basedOn w:val="Normal"/>
    <w:rsid w:val="00200682"/>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pt-BR"/>
    </w:rPr>
  </w:style>
  <w:style w:type="character" w:customStyle="1" w:styleId="apple-converted-space">
    <w:name w:val="apple-converted-space"/>
    <w:rsid w:val="00200682"/>
  </w:style>
  <w:style w:type="character" w:styleId="Refdecomentrio">
    <w:name w:val="annotation reference"/>
    <w:basedOn w:val="Fontepargpadro"/>
    <w:uiPriority w:val="99"/>
    <w:semiHidden/>
    <w:unhideWhenUsed/>
    <w:rsid w:val="00200682"/>
    <w:rPr>
      <w:sz w:val="16"/>
      <w:szCs w:val="16"/>
    </w:rPr>
  </w:style>
  <w:style w:type="paragraph" w:styleId="Textodecomentrio">
    <w:name w:val="annotation text"/>
    <w:basedOn w:val="Normal"/>
    <w:link w:val="TextodecomentrioChar"/>
    <w:uiPriority w:val="99"/>
    <w:semiHidden/>
    <w:unhideWhenUsed/>
    <w:rsid w:val="0020068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00682"/>
    <w:rPr>
      <w:rFonts w:ascii="Calibri" w:eastAsia="Tahoma" w:hAnsi="Calibri" w:cs="Calibri"/>
      <w:kern w:val="1"/>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200682"/>
    <w:rPr>
      <w:b/>
      <w:bCs/>
    </w:rPr>
  </w:style>
  <w:style w:type="character" w:customStyle="1" w:styleId="AssuntodocomentrioChar">
    <w:name w:val="Assunto do comentário Char"/>
    <w:basedOn w:val="TextodecomentrioChar"/>
    <w:link w:val="Assuntodocomentrio"/>
    <w:uiPriority w:val="99"/>
    <w:semiHidden/>
    <w:rsid w:val="00200682"/>
    <w:rPr>
      <w:rFonts w:ascii="Calibri" w:eastAsia="Tahoma" w:hAnsi="Calibri" w:cs="Calibri"/>
      <w:b/>
      <w:bCs/>
      <w:kern w:val="1"/>
      <w:sz w:val="20"/>
      <w:szCs w:val="20"/>
      <w:lang w:eastAsia="zh-CN"/>
    </w:rPr>
  </w:style>
  <w:style w:type="paragraph" w:styleId="Reviso">
    <w:name w:val="Revision"/>
    <w:hidden/>
    <w:uiPriority w:val="99"/>
    <w:semiHidden/>
    <w:rsid w:val="004669A6"/>
    <w:pPr>
      <w:spacing w:after="0" w:line="240" w:lineRule="auto"/>
    </w:pPr>
    <w:rPr>
      <w:rFonts w:ascii="Calibri" w:eastAsia="Tahoma" w:hAnsi="Calibri" w:cs="Calibri"/>
      <w:kern w:val="1"/>
      <w:lang w:eastAsia="zh-CN"/>
    </w:rPr>
  </w:style>
  <w:style w:type="table" w:styleId="Tabelacomgrade">
    <w:name w:val="Table Grid"/>
    <w:basedOn w:val="Tabelanormal"/>
    <w:uiPriority w:val="39"/>
    <w:rsid w:val="007A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2">
    <w:name w:val="Grid Table 2"/>
    <w:basedOn w:val="Tabelanormal"/>
    <w:uiPriority w:val="47"/>
    <w:rsid w:val="0022719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ntstyle01">
    <w:name w:val="fontstyle01"/>
    <w:basedOn w:val="Fontepargpadro"/>
    <w:rsid w:val="002162FF"/>
    <w:rPr>
      <w:rFonts w:ascii="ArialMT" w:hAnsi="ArialMT" w:hint="default"/>
      <w:b w:val="0"/>
      <w:bCs w:val="0"/>
      <w:i w:val="0"/>
      <w:iCs w:val="0"/>
      <w:color w:val="000000"/>
      <w:sz w:val="22"/>
      <w:szCs w:val="22"/>
    </w:rPr>
  </w:style>
  <w:style w:type="table" w:styleId="TabeladeGrade1Clara">
    <w:name w:val="Grid Table 1 Light"/>
    <w:basedOn w:val="Tabelanormal"/>
    <w:uiPriority w:val="46"/>
    <w:rsid w:val="004375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1858">
      <w:bodyDiv w:val="1"/>
      <w:marLeft w:val="0"/>
      <w:marRight w:val="0"/>
      <w:marTop w:val="0"/>
      <w:marBottom w:val="0"/>
      <w:divBdr>
        <w:top w:val="none" w:sz="0" w:space="0" w:color="auto"/>
        <w:left w:val="none" w:sz="0" w:space="0" w:color="auto"/>
        <w:bottom w:val="none" w:sz="0" w:space="0" w:color="auto"/>
        <w:right w:val="none" w:sz="0" w:space="0" w:color="auto"/>
      </w:divBdr>
    </w:div>
    <w:div w:id="41100663">
      <w:bodyDiv w:val="1"/>
      <w:marLeft w:val="0"/>
      <w:marRight w:val="0"/>
      <w:marTop w:val="0"/>
      <w:marBottom w:val="0"/>
      <w:divBdr>
        <w:top w:val="none" w:sz="0" w:space="0" w:color="auto"/>
        <w:left w:val="none" w:sz="0" w:space="0" w:color="auto"/>
        <w:bottom w:val="none" w:sz="0" w:space="0" w:color="auto"/>
        <w:right w:val="none" w:sz="0" w:space="0" w:color="auto"/>
      </w:divBdr>
    </w:div>
    <w:div w:id="41828949">
      <w:bodyDiv w:val="1"/>
      <w:marLeft w:val="0"/>
      <w:marRight w:val="0"/>
      <w:marTop w:val="0"/>
      <w:marBottom w:val="0"/>
      <w:divBdr>
        <w:top w:val="none" w:sz="0" w:space="0" w:color="auto"/>
        <w:left w:val="none" w:sz="0" w:space="0" w:color="auto"/>
        <w:bottom w:val="none" w:sz="0" w:space="0" w:color="auto"/>
        <w:right w:val="none" w:sz="0" w:space="0" w:color="auto"/>
      </w:divBdr>
    </w:div>
    <w:div w:id="79068080">
      <w:bodyDiv w:val="1"/>
      <w:marLeft w:val="0"/>
      <w:marRight w:val="0"/>
      <w:marTop w:val="0"/>
      <w:marBottom w:val="0"/>
      <w:divBdr>
        <w:top w:val="none" w:sz="0" w:space="0" w:color="auto"/>
        <w:left w:val="none" w:sz="0" w:space="0" w:color="auto"/>
        <w:bottom w:val="none" w:sz="0" w:space="0" w:color="auto"/>
        <w:right w:val="none" w:sz="0" w:space="0" w:color="auto"/>
      </w:divBdr>
    </w:div>
    <w:div w:id="102042769">
      <w:bodyDiv w:val="1"/>
      <w:marLeft w:val="0"/>
      <w:marRight w:val="0"/>
      <w:marTop w:val="0"/>
      <w:marBottom w:val="0"/>
      <w:divBdr>
        <w:top w:val="none" w:sz="0" w:space="0" w:color="auto"/>
        <w:left w:val="none" w:sz="0" w:space="0" w:color="auto"/>
        <w:bottom w:val="none" w:sz="0" w:space="0" w:color="auto"/>
        <w:right w:val="none" w:sz="0" w:space="0" w:color="auto"/>
      </w:divBdr>
    </w:div>
    <w:div w:id="103696167">
      <w:bodyDiv w:val="1"/>
      <w:marLeft w:val="0"/>
      <w:marRight w:val="0"/>
      <w:marTop w:val="0"/>
      <w:marBottom w:val="0"/>
      <w:divBdr>
        <w:top w:val="none" w:sz="0" w:space="0" w:color="auto"/>
        <w:left w:val="none" w:sz="0" w:space="0" w:color="auto"/>
        <w:bottom w:val="none" w:sz="0" w:space="0" w:color="auto"/>
        <w:right w:val="none" w:sz="0" w:space="0" w:color="auto"/>
      </w:divBdr>
    </w:div>
    <w:div w:id="108093356">
      <w:bodyDiv w:val="1"/>
      <w:marLeft w:val="0"/>
      <w:marRight w:val="0"/>
      <w:marTop w:val="0"/>
      <w:marBottom w:val="0"/>
      <w:divBdr>
        <w:top w:val="none" w:sz="0" w:space="0" w:color="auto"/>
        <w:left w:val="none" w:sz="0" w:space="0" w:color="auto"/>
        <w:bottom w:val="none" w:sz="0" w:space="0" w:color="auto"/>
        <w:right w:val="none" w:sz="0" w:space="0" w:color="auto"/>
      </w:divBdr>
    </w:div>
    <w:div w:id="127288095">
      <w:bodyDiv w:val="1"/>
      <w:marLeft w:val="0"/>
      <w:marRight w:val="0"/>
      <w:marTop w:val="0"/>
      <w:marBottom w:val="0"/>
      <w:divBdr>
        <w:top w:val="none" w:sz="0" w:space="0" w:color="auto"/>
        <w:left w:val="none" w:sz="0" w:space="0" w:color="auto"/>
        <w:bottom w:val="none" w:sz="0" w:space="0" w:color="auto"/>
        <w:right w:val="none" w:sz="0" w:space="0" w:color="auto"/>
      </w:divBdr>
    </w:div>
    <w:div w:id="140387611">
      <w:bodyDiv w:val="1"/>
      <w:marLeft w:val="0"/>
      <w:marRight w:val="0"/>
      <w:marTop w:val="0"/>
      <w:marBottom w:val="0"/>
      <w:divBdr>
        <w:top w:val="none" w:sz="0" w:space="0" w:color="auto"/>
        <w:left w:val="none" w:sz="0" w:space="0" w:color="auto"/>
        <w:bottom w:val="none" w:sz="0" w:space="0" w:color="auto"/>
        <w:right w:val="none" w:sz="0" w:space="0" w:color="auto"/>
      </w:divBdr>
    </w:div>
    <w:div w:id="177275921">
      <w:bodyDiv w:val="1"/>
      <w:marLeft w:val="0"/>
      <w:marRight w:val="0"/>
      <w:marTop w:val="0"/>
      <w:marBottom w:val="0"/>
      <w:divBdr>
        <w:top w:val="none" w:sz="0" w:space="0" w:color="auto"/>
        <w:left w:val="none" w:sz="0" w:space="0" w:color="auto"/>
        <w:bottom w:val="none" w:sz="0" w:space="0" w:color="auto"/>
        <w:right w:val="none" w:sz="0" w:space="0" w:color="auto"/>
      </w:divBdr>
    </w:div>
    <w:div w:id="186870943">
      <w:bodyDiv w:val="1"/>
      <w:marLeft w:val="0"/>
      <w:marRight w:val="0"/>
      <w:marTop w:val="0"/>
      <w:marBottom w:val="0"/>
      <w:divBdr>
        <w:top w:val="none" w:sz="0" w:space="0" w:color="auto"/>
        <w:left w:val="none" w:sz="0" w:space="0" w:color="auto"/>
        <w:bottom w:val="none" w:sz="0" w:space="0" w:color="auto"/>
        <w:right w:val="none" w:sz="0" w:space="0" w:color="auto"/>
      </w:divBdr>
    </w:div>
    <w:div w:id="196505686">
      <w:bodyDiv w:val="1"/>
      <w:marLeft w:val="0"/>
      <w:marRight w:val="0"/>
      <w:marTop w:val="0"/>
      <w:marBottom w:val="0"/>
      <w:divBdr>
        <w:top w:val="none" w:sz="0" w:space="0" w:color="auto"/>
        <w:left w:val="none" w:sz="0" w:space="0" w:color="auto"/>
        <w:bottom w:val="none" w:sz="0" w:space="0" w:color="auto"/>
        <w:right w:val="none" w:sz="0" w:space="0" w:color="auto"/>
      </w:divBdr>
    </w:div>
    <w:div w:id="257058790">
      <w:bodyDiv w:val="1"/>
      <w:marLeft w:val="0"/>
      <w:marRight w:val="0"/>
      <w:marTop w:val="0"/>
      <w:marBottom w:val="0"/>
      <w:divBdr>
        <w:top w:val="none" w:sz="0" w:space="0" w:color="auto"/>
        <w:left w:val="none" w:sz="0" w:space="0" w:color="auto"/>
        <w:bottom w:val="none" w:sz="0" w:space="0" w:color="auto"/>
        <w:right w:val="none" w:sz="0" w:space="0" w:color="auto"/>
      </w:divBdr>
    </w:div>
    <w:div w:id="317078663">
      <w:bodyDiv w:val="1"/>
      <w:marLeft w:val="0"/>
      <w:marRight w:val="0"/>
      <w:marTop w:val="0"/>
      <w:marBottom w:val="0"/>
      <w:divBdr>
        <w:top w:val="none" w:sz="0" w:space="0" w:color="auto"/>
        <w:left w:val="none" w:sz="0" w:space="0" w:color="auto"/>
        <w:bottom w:val="none" w:sz="0" w:space="0" w:color="auto"/>
        <w:right w:val="none" w:sz="0" w:space="0" w:color="auto"/>
      </w:divBdr>
    </w:div>
    <w:div w:id="318115173">
      <w:bodyDiv w:val="1"/>
      <w:marLeft w:val="0"/>
      <w:marRight w:val="0"/>
      <w:marTop w:val="0"/>
      <w:marBottom w:val="0"/>
      <w:divBdr>
        <w:top w:val="none" w:sz="0" w:space="0" w:color="auto"/>
        <w:left w:val="none" w:sz="0" w:space="0" w:color="auto"/>
        <w:bottom w:val="none" w:sz="0" w:space="0" w:color="auto"/>
        <w:right w:val="none" w:sz="0" w:space="0" w:color="auto"/>
      </w:divBdr>
    </w:div>
    <w:div w:id="372772504">
      <w:bodyDiv w:val="1"/>
      <w:marLeft w:val="0"/>
      <w:marRight w:val="0"/>
      <w:marTop w:val="0"/>
      <w:marBottom w:val="0"/>
      <w:divBdr>
        <w:top w:val="none" w:sz="0" w:space="0" w:color="auto"/>
        <w:left w:val="none" w:sz="0" w:space="0" w:color="auto"/>
        <w:bottom w:val="none" w:sz="0" w:space="0" w:color="auto"/>
        <w:right w:val="none" w:sz="0" w:space="0" w:color="auto"/>
      </w:divBdr>
    </w:div>
    <w:div w:id="382484360">
      <w:bodyDiv w:val="1"/>
      <w:marLeft w:val="0"/>
      <w:marRight w:val="0"/>
      <w:marTop w:val="0"/>
      <w:marBottom w:val="0"/>
      <w:divBdr>
        <w:top w:val="none" w:sz="0" w:space="0" w:color="auto"/>
        <w:left w:val="none" w:sz="0" w:space="0" w:color="auto"/>
        <w:bottom w:val="none" w:sz="0" w:space="0" w:color="auto"/>
        <w:right w:val="none" w:sz="0" w:space="0" w:color="auto"/>
      </w:divBdr>
    </w:div>
    <w:div w:id="508839353">
      <w:bodyDiv w:val="1"/>
      <w:marLeft w:val="0"/>
      <w:marRight w:val="0"/>
      <w:marTop w:val="0"/>
      <w:marBottom w:val="0"/>
      <w:divBdr>
        <w:top w:val="none" w:sz="0" w:space="0" w:color="auto"/>
        <w:left w:val="none" w:sz="0" w:space="0" w:color="auto"/>
        <w:bottom w:val="none" w:sz="0" w:space="0" w:color="auto"/>
        <w:right w:val="none" w:sz="0" w:space="0" w:color="auto"/>
      </w:divBdr>
    </w:div>
    <w:div w:id="518197305">
      <w:bodyDiv w:val="1"/>
      <w:marLeft w:val="0"/>
      <w:marRight w:val="0"/>
      <w:marTop w:val="0"/>
      <w:marBottom w:val="0"/>
      <w:divBdr>
        <w:top w:val="none" w:sz="0" w:space="0" w:color="auto"/>
        <w:left w:val="none" w:sz="0" w:space="0" w:color="auto"/>
        <w:bottom w:val="none" w:sz="0" w:space="0" w:color="auto"/>
        <w:right w:val="none" w:sz="0" w:space="0" w:color="auto"/>
      </w:divBdr>
    </w:div>
    <w:div w:id="571740123">
      <w:bodyDiv w:val="1"/>
      <w:marLeft w:val="0"/>
      <w:marRight w:val="0"/>
      <w:marTop w:val="0"/>
      <w:marBottom w:val="0"/>
      <w:divBdr>
        <w:top w:val="none" w:sz="0" w:space="0" w:color="auto"/>
        <w:left w:val="none" w:sz="0" w:space="0" w:color="auto"/>
        <w:bottom w:val="none" w:sz="0" w:space="0" w:color="auto"/>
        <w:right w:val="none" w:sz="0" w:space="0" w:color="auto"/>
      </w:divBdr>
    </w:div>
    <w:div w:id="645627596">
      <w:bodyDiv w:val="1"/>
      <w:marLeft w:val="0"/>
      <w:marRight w:val="0"/>
      <w:marTop w:val="0"/>
      <w:marBottom w:val="0"/>
      <w:divBdr>
        <w:top w:val="none" w:sz="0" w:space="0" w:color="auto"/>
        <w:left w:val="none" w:sz="0" w:space="0" w:color="auto"/>
        <w:bottom w:val="none" w:sz="0" w:space="0" w:color="auto"/>
        <w:right w:val="none" w:sz="0" w:space="0" w:color="auto"/>
      </w:divBdr>
    </w:div>
    <w:div w:id="665325331">
      <w:bodyDiv w:val="1"/>
      <w:marLeft w:val="0"/>
      <w:marRight w:val="0"/>
      <w:marTop w:val="0"/>
      <w:marBottom w:val="0"/>
      <w:divBdr>
        <w:top w:val="none" w:sz="0" w:space="0" w:color="auto"/>
        <w:left w:val="none" w:sz="0" w:space="0" w:color="auto"/>
        <w:bottom w:val="none" w:sz="0" w:space="0" w:color="auto"/>
        <w:right w:val="none" w:sz="0" w:space="0" w:color="auto"/>
      </w:divBdr>
    </w:div>
    <w:div w:id="713382981">
      <w:bodyDiv w:val="1"/>
      <w:marLeft w:val="0"/>
      <w:marRight w:val="0"/>
      <w:marTop w:val="0"/>
      <w:marBottom w:val="0"/>
      <w:divBdr>
        <w:top w:val="none" w:sz="0" w:space="0" w:color="auto"/>
        <w:left w:val="none" w:sz="0" w:space="0" w:color="auto"/>
        <w:bottom w:val="none" w:sz="0" w:space="0" w:color="auto"/>
        <w:right w:val="none" w:sz="0" w:space="0" w:color="auto"/>
      </w:divBdr>
    </w:div>
    <w:div w:id="714544036">
      <w:bodyDiv w:val="1"/>
      <w:marLeft w:val="0"/>
      <w:marRight w:val="0"/>
      <w:marTop w:val="0"/>
      <w:marBottom w:val="0"/>
      <w:divBdr>
        <w:top w:val="none" w:sz="0" w:space="0" w:color="auto"/>
        <w:left w:val="none" w:sz="0" w:space="0" w:color="auto"/>
        <w:bottom w:val="none" w:sz="0" w:space="0" w:color="auto"/>
        <w:right w:val="none" w:sz="0" w:space="0" w:color="auto"/>
      </w:divBdr>
    </w:div>
    <w:div w:id="723874550">
      <w:bodyDiv w:val="1"/>
      <w:marLeft w:val="0"/>
      <w:marRight w:val="0"/>
      <w:marTop w:val="0"/>
      <w:marBottom w:val="0"/>
      <w:divBdr>
        <w:top w:val="none" w:sz="0" w:space="0" w:color="auto"/>
        <w:left w:val="none" w:sz="0" w:space="0" w:color="auto"/>
        <w:bottom w:val="none" w:sz="0" w:space="0" w:color="auto"/>
        <w:right w:val="none" w:sz="0" w:space="0" w:color="auto"/>
      </w:divBdr>
    </w:div>
    <w:div w:id="726496516">
      <w:bodyDiv w:val="1"/>
      <w:marLeft w:val="0"/>
      <w:marRight w:val="0"/>
      <w:marTop w:val="0"/>
      <w:marBottom w:val="0"/>
      <w:divBdr>
        <w:top w:val="none" w:sz="0" w:space="0" w:color="auto"/>
        <w:left w:val="none" w:sz="0" w:space="0" w:color="auto"/>
        <w:bottom w:val="none" w:sz="0" w:space="0" w:color="auto"/>
        <w:right w:val="none" w:sz="0" w:space="0" w:color="auto"/>
      </w:divBdr>
    </w:div>
    <w:div w:id="733043311">
      <w:bodyDiv w:val="1"/>
      <w:marLeft w:val="0"/>
      <w:marRight w:val="0"/>
      <w:marTop w:val="0"/>
      <w:marBottom w:val="0"/>
      <w:divBdr>
        <w:top w:val="none" w:sz="0" w:space="0" w:color="auto"/>
        <w:left w:val="none" w:sz="0" w:space="0" w:color="auto"/>
        <w:bottom w:val="none" w:sz="0" w:space="0" w:color="auto"/>
        <w:right w:val="none" w:sz="0" w:space="0" w:color="auto"/>
      </w:divBdr>
    </w:div>
    <w:div w:id="772551028">
      <w:bodyDiv w:val="1"/>
      <w:marLeft w:val="0"/>
      <w:marRight w:val="0"/>
      <w:marTop w:val="0"/>
      <w:marBottom w:val="0"/>
      <w:divBdr>
        <w:top w:val="none" w:sz="0" w:space="0" w:color="auto"/>
        <w:left w:val="none" w:sz="0" w:space="0" w:color="auto"/>
        <w:bottom w:val="none" w:sz="0" w:space="0" w:color="auto"/>
        <w:right w:val="none" w:sz="0" w:space="0" w:color="auto"/>
      </w:divBdr>
    </w:div>
    <w:div w:id="854541413">
      <w:bodyDiv w:val="1"/>
      <w:marLeft w:val="0"/>
      <w:marRight w:val="0"/>
      <w:marTop w:val="0"/>
      <w:marBottom w:val="0"/>
      <w:divBdr>
        <w:top w:val="none" w:sz="0" w:space="0" w:color="auto"/>
        <w:left w:val="none" w:sz="0" w:space="0" w:color="auto"/>
        <w:bottom w:val="none" w:sz="0" w:space="0" w:color="auto"/>
        <w:right w:val="none" w:sz="0" w:space="0" w:color="auto"/>
      </w:divBdr>
    </w:div>
    <w:div w:id="890384047">
      <w:bodyDiv w:val="1"/>
      <w:marLeft w:val="0"/>
      <w:marRight w:val="0"/>
      <w:marTop w:val="0"/>
      <w:marBottom w:val="0"/>
      <w:divBdr>
        <w:top w:val="none" w:sz="0" w:space="0" w:color="auto"/>
        <w:left w:val="none" w:sz="0" w:space="0" w:color="auto"/>
        <w:bottom w:val="none" w:sz="0" w:space="0" w:color="auto"/>
        <w:right w:val="none" w:sz="0" w:space="0" w:color="auto"/>
      </w:divBdr>
    </w:div>
    <w:div w:id="896628378">
      <w:bodyDiv w:val="1"/>
      <w:marLeft w:val="0"/>
      <w:marRight w:val="0"/>
      <w:marTop w:val="0"/>
      <w:marBottom w:val="0"/>
      <w:divBdr>
        <w:top w:val="none" w:sz="0" w:space="0" w:color="auto"/>
        <w:left w:val="none" w:sz="0" w:space="0" w:color="auto"/>
        <w:bottom w:val="none" w:sz="0" w:space="0" w:color="auto"/>
        <w:right w:val="none" w:sz="0" w:space="0" w:color="auto"/>
      </w:divBdr>
    </w:div>
    <w:div w:id="960304013">
      <w:bodyDiv w:val="1"/>
      <w:marLeft w:val="0"/>
      <w:marRight w:val="0"/>
      <w:marTop w:val="0"/>
      <w:marBottom w:val="0"/>
      <w:divBdr>
        <w:top w:val="none" w:sz="0" w:space="0" w:color="auto"/>
        <w:left w:val="none" w:sz="0" w:space="0" w:color="auto"/>
        <w:bottom w:val="none" w:sz="0" w:space="0" w:color="auto"/>
        <w:right w:val="none" w:sz="0" w:space="0" w:color="auto"/>
      </w:divBdr>
    </w:div>
    <w:div w:id="1085960233">
      <w:bodyDiv w:val="1"/>
      <w:marLeft w:val="0"/>
      <w:marRight w:val="0"/>
      <w:marTop w:val="0"/>
      <w:marBottom w:val="0"/>
      <w:divBdr>
        <w:top w:val="none" w:sz="0" w:space="0" w:color="auto"/>
        <w:left w:val="none" w:sz="0" w:space="0" w:color="auto"/>
        <w:bottom w:val="none" w:sz="0" w:space="0" w:color="auto"/>
        <w:right w:val="none" w:sz="0" w:space="0" w:color="auto"/>
      </w:divBdr>
    </w:div>
    <w:div w:id="1105156494">
      <w:bodyDiv w:val="1"/>
      <w:marLeft w:val="0"/>
      <w:marRight w:val="0"/>
      <w:marTop w:val="0"/>
      <w:marBottom w:val="0"/>
      <w:divBdr>
        <w:top w:val="none" w:sz="0" w:space="0" w:color="auto"/>
        <w:left w:val="none" w:sz="0" w:space="0" w:color="auto"/>
        <w:bottom w:val="none" w:sz="0" w:space="0" w:color="auto"/>
        <w:right w:val="none" w:sz="0" w:space="0" w:color="auto"/>
      </w:divBdr>
    </w:div>
    <w:div w:id="1201938842">
      <w:bodyDiv w:val="1"/>
      <w:marLeft w:val="0"/>
      <w:marRight w:val="0"/>
      <w:marTop w:val="0"/>
      <w:marBottom w:val="0"/>
      <w:divBdr>
        <w:top w:val="none" w:sz="0" w:space="0" w:color="auto"/>
        <w:left w:val="none" w:sz="0" w:space="0" w:color="auto"/>
        <w:bottom w:val="none" w:sz="0" w:space="0" w:color="auto"/>
        <w:right w:val="none" w:sz="0" w:space="0" w:color="auto"/>
      </w:divBdr>
    </w:div>
    <w:div w:id="1206065088">
      <w:bodyDiv w:val="1"/>
      <w:marLeft w:val="0"/>
      <w:marRight w:val="0"/>
      <w:marTop w:val="0"/>
      <w:marBottom w:val="0"/>
      <w:divBdr>
        <w:top w:val="none" w:sz="0" w:space="0" w:color="auto"/>
        <w:left w:val="none" w:sz="0" w:space="0" w:color="auto"/>
        <w:bottom w:val="none" w:sz="0" w:space="0" w:color="auto"/>
        <w:right w:val="none" w:sz="0" w:space="0" w:color="auto"/>
      </w:divBdr>
    </w:div>
    <w:div w:id="1246375289">
      <w:bodyDiv w:val="1"/>
      <w:marLeft w:val="0"/>
      <w:marRight w:val="0"/>
      <w:marTop w:val="0"/>
      <w:marBottom w:val="0"/>
      <w:divBdr>
        <w:top w:val="none" w:sz="0" w:space="0" w:color="auto"/>
        <w:left w:val="none" w:sz="0" w:space="0" w:color="auto"/>
        <w:bottom w:val="none" w:sz="0" w:space="0" w:color="auto"/>
        <w:right w:val="none" w:sz="0" w:space="0" w:color="auto"/>
      </w:divBdr>
    </w:div>
    <w:div w:id="1304772991">
      <w:bodyDiv w:val="1"/>
      <w:marLeft w:val="0"/>
      <w:marRight w:val="0"/>
      <w:marTop w:val="0"/>
      <w:marBottom w:val="0"/>
      <w:divBdr>
        <w:top w:val="none" w:sz="0" w:space="0" w:color="auto"/>
        <w:left w:val="none" w:sz="0" w:space="0" w:color="auto"/>
        <w:bottom w:val="none" w:sz="0" w:space="0" w:color="auto"/>
        <w:right w:val="none" w:sz="0" w:space="0" w:color="auto"/>
      </w:divBdr>
    </w:div>
    <w:div w:id="1334912377">
      <w:bodyDiv w:val="1"/>
      <w:marLeft w:val="0"/>
      <w:marRight w:val="0"/>
      <w:marTop w:val="0"/>
      <w:marBottom w:val="0"/>
      <w:divBdr>
        <w:top w:val="none" w:sz="0" w:space="0" w:color="auto"/>
        <w:left w:val="none" w:sz="0" w:space="0" w:color="auto"/>
        <w:bottom w:val="none" w:sz="0" w:space="0" w:color="auto"/>
        <w:right w:val="none" w:sz="0" w:space="0" w:color="auto"/>
      </w:divBdr>
    </w:div>
    <w:div w:id="1337852454">
      <w:bodyDiv w:val="1"/>
      <w:marLeft w:val="0"/>
      <w:marRight w:val="0"/>
      <w:marTop w:val="0"/>
      <w:marBottom w:val="0"/>
      <w:divBdr>
        <w:top w:val="none" w:sz="0" w:space="0" w:color="auto"/>
        <w:left w:val="none" w:sz="0" w:space="0" w:color="auto"/>
        <w:bottom w:val="none" w:sz="0" w:space="0" w:color="auto"/>
        <w:right w:val="none" w:sz="0" w:space="0" w:color="auto"/>
      </w:divBdr>
    </w:div>
    <w:div w:id="1363821995">
      <w:bodyDiv w:val="1"/>
      <w:marLeft w:val="0"/>
      <w:marRight w:val="0"/>
      <w:marTop w:val="0"/>
      <w:marBottom w:val="0"/>
      <w:divBdr>
        <w:top w:val="none" w:sz="0" w:space="0" w:color="auto"/>
        <w:left w:val="none" w:sz="0" w:space="0" w:color="auto"/>
        <w:bottom w:val="none" w:sz="0" w:space="0" w:color="auto"/>
        <w:right w:val="none" w:sz="0" w:space="0" w:color="auto"/>
      </w:divBdr>
    </w:div>
    <w:div w:id="1389183564">
      <w:bodyDiv w:val="1"/>
      <w:marLeft w:val="0"/>
      <w:marRight w:val="0"/>
      <w:marTop w:val="0"/>
      <w:marBottom w:val="0"/>
      <w:divBdr>
        <w:top w:val="none" w:sz="0" w:space="0" w:color="auto"/>
        <w:left w:val="none" w:sz="0" w:space="0" w:color="auto"/>
        <w:bottom w:val="none" w:sz="0" w:space="0" w:color="auto"/>
        <w:right w:val="none" w:sz="0" w:space="0" w:color="auto"/>
      </w:divBdr>
    </w:div>
    <w:div w:id="1398479540">
      <w:bodyDiv w:val="1"/>
      <w:marLeft w:val="0"/>
      <w:marRight w:val="0"/>
      <w:marTop w:val="0"/>
      <w:marBottom w:val="0"/>
      <w:divBdr>
        <w:top w:val="none" w:sz="0" w:space="0" w:color="auto"/>
        <w:left w:val="none" w:sz="0" w:space="0" w:color="auto"/>
        <w:bottom w:val="none" w:sz="0" w:space="0" w:color="auto"/>
        <w:right w:val="none" w:sz="0" w:space="0" w:color="auto"/>
      </w:divBdr>
    </w:div>
    <w:div w:id="1413696096">
      <w:bodyDiv w:val="1"/>
      <w:marLeft w:val="0"/>
      <w:marRight w:val="0"/>
      <w:marTop w:val="0"/>
      <w:marBottom w:val="0"/>
      <w:divBdr>
        <w:top w:val="none" w:sz="0" w:space="0" w:color="auto"/>
        <w:left w:val="none" w:sz="0" w:space="0" w:color="auto"/>
        <w:bottom w:val="none" w:sz="0" w:space="0" w:color="auto"/>
        <w:right w:val="none" w:sz="0" w:space="0" w:color="auto"/>
      </w:divBdr>
    </w:div>
    <w:div w:id="1416785478">
      <w:bodyDiv w:val="1"/>
      <w:marLeft w:val="0"/>
      <w:marRight w:val="0"/>
      <w:marTop w:val="0"/>
      <w:marBottom w:val="0"/>
      <w:divBdr>
        <w:top w:val="none" w:sz="0" w:space="0" w:color="auto"/>
        <w:left w:val="none" w:sz="0" w:space="0" w:color="auto"/>
        <w:bottom w:val="none" w:sz="0" w:space="0" w:color="auto"/>
        <w:right w:val="none" w:sz="0" w:space="0" w:color="auto"/>
      </w:divBdr>
    </w:div>
    <w:div w:id="1434981406">
      <w:bodyDiv w:val="1"/>
      <w:marLeft w:val="0"/>
      <w:marRight w:val="0"/>
      <w:marTop w:val="0"/>
      <w:marBottom w:val="0"/>
      <w:divBdr>
        <w:top w:val="none" w:sz="0" w:space="0" w:color="auto"/>
        <w:left w:val="none" w:sz="0" w:space="0" w:color="auto"/>
        <w:bottom w:val="none" w:sz="0" w:space="0" w:color="auto"/>
        <w:right w:val="none" w:sz="0" w:space="0" w:color="auto"/>
      </w:divBdr>
    </w:div>
    <w:div w:id="1466973307">
      <w:bodyDiv w:val="1"/>
      <w:marLeft w:val="0"/>
      <w:marRight w:val="0"/>
      <w:marTop w:val="0"/>
      <w:marBottom w:val="0"/>
      <w:divBdr>
        <w:top w:val="none" w:sz="0" w:space="0" w:color="auto"/>
        <w:left w:val="none" w:sz="0" w:space="0" w:color="auto"/>
        <w:bottom w:val="none" w:sz="0" w:space="0" w:color="auto"/>
        <w:right w:val="none" w:sz="0" w:space="0" w:color="auto"/>
      </w:divBdr>
    </w:div>
    <w:div w:id="1483430591">
      <w:bodyDiv w:val="1"/>
      <w:marLeft w:val="0"/>
      <w:marRight w:val="0"/>
      <w:marTop w:val="0"/>
      <w:marBottom w:val="0"/>
      <w:divBdr>
        <w:top w:val="none" w:sz="0" w:space="0" w:color="auto"/>
        <w:left w:val="none" w:sz="0" w:space="0" w:color="auto"/>
        <w:bottom w:val="none" w:sz="0" w:space="0" w:color="auto"/>
        <w:right w:val="none" w:sz="0" w:space="0" w:color="auto"/>
      </w:divBdr>
    </w:div>
    <w:div w:id="1518233398">
      <w:bodyDiv w:val="1"/>
      <w:marLeft w:val="0"/>
      <w:marRight w:val="0"/>
      <w:marTop w:val="0"/>
      <w:marBottom w:val="0"/>
      <w:divBdr>
        <w:top w:val="none" w:sz="0" w:space="0" w:color="auto"/>
        <w:left w:val="none" w:sz="0" w:space="0" w:color="auto"/>
        <w:bottom w:val="none" w:sz="0" w:space="0" w:color="auto"/>
        <w:right w:val="none" w:sz="0" w:space="0" w:color="auto"/>
      </w:divBdr>
    </w:div>
    <w:div w:id="1582325979">
      <w:bodyDiv w:val="1"/>
      <w:marLeft w:val="0"/>
      <w:marRight w:val="0"/>
      <w:marTop w:val="0"/>
      <w:marBottom w:val="0"/>
      <w:divBdr>
        <w:top w:val="none" w:sz="0" w:space="0" w:color="auto"/>
        <w:left w:val="none" w:sz="0" w:space="0" w:color="auto"/>
        <w:bottom w:val="none" w:sz="0" w:space="0" w:color="auto"/>
        <w:right w:val="none" w:sz="0" w:space="0" w:color="auto"/>
      </w:divBdr>
    </w:div>
    <w:div w:id="1589999905">
      <w:bodyDiv w:val="1"/>
      <w:marLeft w:val="0"/>
      <w:marRight w:val="0"/>
      <w:marTop w:val="0"/>
      <w:marBottom w:val="0"/>
      <w:divBdr>
        <w:top w:val="none" w:sz="0" w:space="0" w:color="auto"/>
        <w:left w:val="none" w:sz="0" w:space="0" w:color="auto"/>
        <w:bottom w:val="none" w:sz="0" w:space="0" w:color="auto"/>
        <w:right w:val="none" w:sz="0" w:space="0" w:color="auto"/>
      </w:divBdr>
    </w:div>
    <w:div w:id="1606036617">
      <w:bodyDiv w:val="1"/>
      <w:marLeft w:val="0"/>
      <w:marRight w:val="0"/>
      <w:marTop w:val="0"/>
      <w:marBottom w:val="0"/>
      <w:divBdr>
        <w:top w:val="none" w:sz="0" w:space="0" w:color="auto"/>
        <w:left w:val="none" w:sz="0" w:space="0" w:color="auto"/>
        <w:bottom w:val="none" w:sz="0" w:space="0" w:color="auto"/>
        <w:right w:val="none" w:sz="0" w:space="0" w:color="auto"/>
      </w:divBdr>
    </w:div>
    <w:div w:id="1632439849">
      <w:bodyDiv w:val="1"/>
      <w:marLeft w:val="0"/>
      <w:marRight w:val="0"/>
      <w:marTop w:val="0"/>
      <w:marBottom w:val="0"/>
      <w:divBdr>
        <w:top w:val="none" w:sz="0" w:space="0" w:color="auto"/>
        <w:left w:val="none" w:sz="0" w:space="0" w:color="auto"/>
        <w:bottom w:val="none" w:sz="0" w:space="0" w:color="auto"/>
        <w:right w:val="none" w:sz="0" w:space="0" w:color="auto"/>
      </w:divBdr>
    </w:div>
    <w:div w:id="1639800306">
      <w:bodyDiv w:val="1"/>
      <w:marLeft w:val="0"/>
      <w:marRight w:val="0"/>
      <w:marTop w:val="0"/>
      <w:marBottom w:val="0"/>
      <w:divBdr>
        <w:top w:val="none" w:sz="0" w:space="0" w:color="auto"/>
        <w:left w:val="none" w:sz="0" w:space="0" w:color="auto"/>
        <w:bottom w:val="none" w:sz="0" w:space="0" w:color="auto"/>
        <w:right w:val="none" w:sz="0" w:space="0" w:color="auto"/>
      </w:divBdr>
    </w:div>
    <w:div w:id="1651591297">
      <w:bodyDiv w:val="1"/>
      <w:marLeft w:val="0"/>
      <w:marRight w:val="0"/>
      <w:marTop w:val="0"/>
      <w:marBottom w:val="0"/>
      <w:divBdr>
        <w:top w:val="none" w:sz="0" w:space="0" w:color="auto"/>
        <w:left w:val="none" w:sz="0" w:space="0" w:color="auto"/>
        <w:bottom w:val="none" w:sz="0" w:space="0" w:color="auto"/>
        <w:right w:val="none" w:sz="0" w:space="0" w:color="auto"/>
      </w:divBdr>
    </w:div>
    <w:div w:id="1670785986">
      <w:bodyDiv w:val="1"/>
      <w:marLeft w:val="0"/>
      <w:marRight w:val="0"/>
      <w:marTop w:val="0"/>
      <w:marBottom w:val="0"/>
      <w:divBdr>
        <w:top w:val="none" w:sz="0" w:space="0" w:color="auto"/>
        <w:left w:val="none" w:sz="0" w:space="0" w:color="auto"/>
        <w:bottom w:val="none" w:sz="0" w:space="0" w:color="auto"/>
        <w:right w:val="none" w:sz="0" w:space="0" w:color="auto"/>
      </w:divBdr>
    </w:div>
    <w:div w:id="1682196835">
      <w:bodyDiv w:val="1"/>
      <w:marLeft w:val="0"/>
      <w:marRight w:val="0"/>
      <w:marTop w:val="0"/>
      <w:marBottom w:val="0"/>
      <w:divBdr>
        <w:top w:val="none" w:sz="0" w:space="0" w:color="auto"/>
        <w:left w:val="none" w:sz="0" w:space="0" w:color="auto"/>
        <w:bottom w:val="none" w:sz="0" w:space="0" w:color="auto"/>
        <w:right w:val="none" w:sz="0" w:space="0" w:color="auto"/>
      </w:divBdr>
    </w:div>
    <w:div w:id="1744141380">
      <w:bodyDiv w:val="1"/>
      <w:marLeft w:val="0"/>
      <w:marRight w:val="0"/>
      <w:marTop w:val="0"/>
      <w:marBottom w:val="0"/>
      <w:divBdr>
        <w:top w:val="none" w:sz="0" w:space="0" w:color="auto"/>
        <w:left w:val="none" w:sz="0" w:space="0" w:color="auto"/>
        <w:bottom w:val="none" w:sz="0" w:space="0" w:color="auto"/>
        <w:right w:val="none" w:sz="0" w:space="0" w:color="auto"/>
      </w:divBdr>
    </w:div>
    <w:div w:id="1808473058">
      <w:bodyDiv w:val="1"/>
      <w:marLeft w:val="0"/>
      <w:marRight w:val="0"/>
      <w:marTop w:val="0"/>
      <w:marBottom w:val="0"/>
      <w:divBdr>
        <w:top w:val="none" w:sz="0" w:space="0" w:color="auto"/>
        <w:left w:val="none" w:sz="0" w:space="0" w:color="auto"/>
        <w:bottom w:val="none" w:sz="0" w:space="0" w:color="auto"/>
        <w:right w:val="none" w:sz="0" w:space="0" w:color="auto"/>
      </w:divBdr>
    </w:div>
    <w:div w:id="1881043277">
      <w:bodyDiv w:val="1"/>
      <w:marLeft w:val="0"/>
      <w:marRight w:val="0"/>
      <w:marTop w:val="0"/>
      <w:marBottom w:val="0"/>
      <w:divBdr>
        <w:top w:val="none" w:sz="0" w:space="0" w:color="auto"/>
        <w:left w:val="none" w:sz="0" w:space="0" w:color="auto"/>
        <w:bottom w:val="none" w:sz="0" w:space="0" w:color="auto"/>
        <w:right w:val="none" w:sz="0" w:space="0" w:color="auto"/>
      </w:divBdr>
    </w:div>
    <w:div w:id="1882325631">
      <w:bodyDiv w:val="1"/>
      <w:marLeft w:val="0"/>
      <w:marRight w:val="0"/>
      <w:marTop w:val="0"/>
      <w:marBottom w:val="0"/>
      <w:divBdr>
        <w:top w:val="none" w:sz="0" w:space="0" w:color="auto"/>
        <w:left w:val="none" w:sz="0" w:space="0" w:color="auto"/>
        <w:bottom w:val="none" w:sz="0" w:space="0" w:color="auto"/>
        <w:right w:val="none" w:sz="0" w:space="0" w:color="auto"/>
      </w:divBdr>
    </w:div>
    <w:div w:id="1893693636">
      <w:bodyDiv w:val="1"/>
      <w:marLeft w:val="0"/>
      <w:marRight w:val="0"/>
      <w:marTop w:val="0"/>
      <w:marBottom w:val="0"/>
      <w:divBdr>
        <w:top w:val="none" w:sz="0" w:space="0" w:color="auto"/>
        <w:left w:val="none" w:sz="0" w:space="0" w:color="auto"/>
        <w:bottom w:val="none" w:sz="0" w:space="0" w:color="auto"/>
        <w:right w:val="none" w:sz="0" w:space="0" w:color="auto"/>
      </w:divBdr>
    </w:div>
    <w:div w:id="1904295275">
      <w:bodyDiv w:val="1"/>
      <w:marLeft w:val="0"/>
      <w:marRight w:val="0"/>
      <w:marTop w:val="0"/>
      <w:marBottom w:val="0"/>
      <w:divBdr>
        <w:top w:val="none" w:sz="0" w:space="0" w:color="auto"/>
        <w:left w:val="none" w:sz="0" w:space="0" w:color="auto"/>
        <w:bottom w:val="none" w:sz="0" w:space="0" w:color="auto"/>
        <w:right w:val="none" w:sz="0" w:space="0" w:color="auto"/>
      </w:divBdr>
    </w:div>
    <w:div w:id="1933925693">
      <w:bodyDiv w:val="1"/>
      <w:marLeft w:val="0"/>
      <w:marRight w:val="0"/>
      <w:marTop w:val="0"/>
      <w:marBottom w:val="0"/>
      <w:divBdr>
        <w:top w:val="none" w:sz="0" w:space="0" w:color="auto"/>
        <w:left w:val="none" w:sz="0" w:space="0" w:color="auto"/>
        <w:bottom w:val="none" w:sz="0" w:space="0" w:color="auto"/>
        <w:right w:val="none" w:sz="0" w:space="0" w:color="auto"/>
      </w:divBdr>
    </w:div>
    <w:div w:id="2083140201">
      <w:bodyDiv w:val="1"/>
      <w:marLeft w:val="0"/>
      <w:marRight w:val="0"/>
      <w:marTop w:val="0"/>
      <w:marBottom w:val="0"/>
      <w:divBdr>
        <w:top w:val="none" w:sz="0" w:space="0" w:color="auto"/>
        <w:left w:val="none" w:sz="0" w:space="0" w:color="auto"/>
        <w:bottom w:val="none" w:sz="0" w:space="0" w:color="auto"/>
        <w:right w:val="none" w:sz="0" w:space="0" w:color="auto"/>
      </w:divBdr>
    </w:div>
    <w:div w:id="2089302204">
      <w:bodyDiv w:val="1"/>
      <w:marLeft w:val="0"/>
      <w:marRight w:val="0"/>
      <w:marTop w:val="0"/>
      <w:marBottom w:val="0"/>
      <w:divBdr>
        <w:top w:val="none" w:sz="0" w:space="0" w:color="auto"/>
        <w:left w:val="none" w:sz="0" w:space="0" w:color="auto"/>
        <w:bottom w:val="none" w:sz="0" w:space="0" w:color="auto"/>
        <w:right w:val="none" w:sz="0" w:space="0" w:color="auto"/>
      </w:divBdr>
    </w:div>
    <w:div w:id="2092071299">
      <w:bodyDiv w:val="1"/>
      <w:marLeft w:val="0"/>
      <w:marRight w:val="0"/>
      <w:marTop w:val="0"/>
      <w:marBottom w:val="0"/>
      <w:divBdr>
        <w:top w:val="none" w:sz="0" w:space="0" w:color="auto"/>
        <w:left w:val="none" w:sz="0" w:space="0" w:color="auto"/>
        <w:bottom w:val="none" w:sz="0" w:space="0" w:color="auto"/>
        <w:right w:val="none" w:sz="0" w:space="0" w:color="auto"/>
      </w:divBdr>
    </w:div>
    <w:div w:id="214434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cfc.org.br/sisweb/sre/detalhes_sre.aspx?Codigo=2017/NBCTG25(R2)&amp;arquivo=NBCTG25(R2).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C8AF5-250B-428A-B761-9848F1443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14241</Words>
  <Characters>76907</Characters>
  <Application>Microsoft Office Word</Application>
  <DocSecurity>2</DocSecurity>
  <Lines>640</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90967</CharactersWithSpaces>
  <SharedDoc>false</SharedDoc>
  <HLinks>
    <vt:vector size="6" baseType="variant">
      <vt:variant>
        <vt:i4>3997786</vt:i4>
      </vt:variant>
      <vt:variant>
        <vt:i4>0</vt:i4>
      </vt:variant>
      <vt:variant>
        <vt:i4>0</vt:i4>
      </vt:variant>
      <vt:variant>
        <vt:i4>5</vt:i4>
      </vt:variant>
      <vt:variant>
        <vt:lpwstr>http://www2.cfc.org.br/sisweb/sre/detalhes_sre.aspx?Codigo=2017/NBCTG25(R2)&amp;arquivo=NBCTG25(R2).doc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Mardônio Barbosa da Silva</dc:creator>
  <cp:keywords/>
  <dc:description/>
  <cp:lastModifiedBy>Mardônio Barbosa da Silva</cp:lastModifiedBy>
  <cp:revision>3</cp:revision>
  <cp:lastPrinted>2020-02-28T11:34:00Z</cp:lastPrinted>
  <dcterms:created xsi:type="dcterms:W3CDTF">2020-03-12T18:08:00Z</dcterms:created>
  <dcterms:modified xsi:type="dcterms:W3CDTF">2020-09-12T15:17:00Z</dcterms:modified>
</cp:coreProperties>
</file>